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F0099" w14:textId="77777777" w:rsidR="00002D23" w:rsidRPr="0096591C" w:rsidRDefault="00002D23">
      <w:pPr>
        <w:pStyle w:val="Title"/>
        <w:rPr>
          <w:sz w:val="24"/>
        </w:rPr>
      </w:pPr>
    </w:p>
    <w:p w14:paraId="1CB6E82B" w14:textId="77777777" w:rsidR="00002D23" w:rsidRPr="0096591C" w:rsidRDefault="00002D23">
      <w:pPr>
        <w:pStyle w:val="Title"/>
        <w:rPr>
          <w:sz w:val="24"/>
        </w:rPr>
      </w:pPr>
    </w:p>
    <w:p w14:paraId="2FF57364" w14:textId="77777777" w:rsidR="00002D23" w:rsidRPr="0096591C" w:rsidRDefault="00002D23">
      <w:pPr>
        <w:pStyle w:val="Title"/>
        <w:rPr>
          <w:sz w:val="24"/>
        </w:rPr>
      </w:pPr>
    </w:p>
    <w:p w14:paraId="76589EE3" w14:textId="77777777" w:rsidR="00002D23" w:rsidRPr="0096591C" w:rsidRDefault="00002D23">
      <w:pPr>
        <w:pStyle w:val="Title"/>
        <w:rPr>
          <w:sz w:val="24"/>
        </w:rPr>
      </w:pPr>
    </w:p>
    <w:p w14:paraId="40D46952" w14:textId="77777777" w:rsidR="00002D23" w:rsidRPr="00C60777" w:rsidRDefault="001E42E8">
      <w:pPr>
        <w:pStyle w:val="Title"/>
        <w:rPr>
          <w:szCs w:val="28"/>
        </w:rPr>
      </w:pPr>
      <w:r w:rsidRPr="00C60777">
        <w:rPr>
          <w:szCs w:val="28"/>
        </w:rPr>
        <w:t>GALION CITY</w:t>
      </w:r>
      <w:r w:rsidR="00002D23" w:rsidRPr="00C60777">
        <w:rPr>
          <w:szCs w:val="28"/>
        </w:rPr>
        <w:t xml:space="preserve"> SCHOOL DISTRICT-</w:t>
      </w:r>
      <w:r w:rsidRPr="00C60777">
        <w:rPr>
          <w:szCs w:val="28"/>
        </w:rPr>
        <w:t>CRAWFORD</w:t>
      </w:r>
      <w:r w:rsidR="00002D23" w:rsidRPr="00C60777">
        <w:rPr>
          <w:szCs w:val="28"/>
        </w:rPr>
        <w:t xml:space="preserve"> COUNTY</w:t>
      </w:r>
    </w:p>
    <w:p w14:paraId="2FD93632" w14:textId="77777777" w:rsidR="00002D23" w:rsidRPr="0096591C" w:rsidRDefault="00002D23">
      <w:pPr>
        <w:pStyle w:val="Subtitle"/>
        <w:rPr>
          <w:b w:val="0"/>
          <w:bCs w:val="0"/>
        </w:rPr>
      </w:pPr>
      <w:r w:rsidRPr="0096591C">
        <w:t>SCHEDULE OF REVENUE, EXPENDITURES, AND CHANGES</w:t>
      </w:r>
    </w:p>
    <w:p w14:paraId="3B00F9FA" w14:textId="77777777" w:rsidR="00002D23" w:rsidRPr="0096591C" w:rsidRDefault="00002D23">
      <w:pPr>
        <w:jc w:val="center"/>
        <w:rPr>
          <w:b/>
          <w:bCs/>
        </w:rPr>
      </w:pPr>
      <w:r w:rsidRPr="0096591C">
        <w:rPr>
          <w:b/>
          <w:bCs/>
        </w:rPr>
        <w:t>IN FUND BALANCES FOR THE FISCAL YEARS ENDED</w:t>
      </w:r>
    </w:p>
    <w:p w14:paraId="2F82AF2F" w14:textId="0EC4596B" w:rsidR="0076628A" w:rsidRPr="0076628A" w:rsidRDefault="0076628A" w:rsidP="0076628A">
      <w:pPr>
        <w:jc w:val="center"/>
        <w:rPr>
          <w:b/>
          <w:bCs/>
        </w:rPr>
      </w:pPr>
      <w:r w:rsidRPr="0076628A">
        <w:rPr>
          <w:b/>
          <w:bCs/>
        </w:rPr>
        <w:t>JUNE 30, 202</w:t>
      </w:r>
      <w:r w:rsidR="00454614">
        <w:rPr>
          <w:b/>
          <w:bCs/>
        </w:rPr>
        <w:t>4</w:t>
      </w:r>
      <w:r w:rsidRPr="0076628A">
        <w:rPr>
          <w:b/>
          <w:bCs/>
        </w:rPr>
        <w:t>, 202</w:t>
      </w:r>
      <w:r w:rsidR="00454614">
        <w:rPr>
          <w:b/>
          <w:bCs/>
        </w:rPr>
        <w:t>5</w:t>
      </w:r>
      <w:r w:rsidRPr="0076628A">
        <w:rPr>
          <w:b/>
          <w:bCs/>
        </w:rPr>
        <w:t xml:space="preserve"> and 202</w:t>
      </w:r>
      <w:r w:rsidR="00454614">
        <w:rPr>
          <w:b/>
          <w:bCs/>
        </w:rPr>
        <w:t>6</w:t>
      </w:r>
      <w:r w:rsidRPr="0076628A">
        <w:rPr>
          <w:b/>
          <w:bCs/>
        </w:rPr>
        <w:t xml:space="preserve"> ACTUAL</w:t>
      </w:r>
    </w:p>
    <w:p w14:paraId="43875CDD" w14:textId="77777777" w:rsidR="0076628A" w:rsidRPr="0076628A" w:rsidRDefault="0076628A" w:rsidP="0076628A">
      <w:pPr>
        <w:jc w:val="center"/>
        <w:rPr>
          <w:b/>
          <w:bCs/>
        </w:rPr>
      </w:pPr>
      <w:r w:rsidRPr="0076628A">
        <w:rPr>
          <w:b/>
          <w:bCs/>
        </w:rPr>
        <w:t>FORECASTED FISCAL YEARS ENDING</w:t>
      </w:r>
    </w:p>
    <w:p w14:paraId="3B026C5E" w14:textId="1F221838" w:rsidR="0076628A" w:rsidRDefault="0076628A" w:rsidP="0076628A">
      <w:pPr>
        <w:jc w:val="center"/>
        <w:rPr>
          <w:b/>
          <w:bCs/>
        </w:rPr>
      </w:pPr>
      <w:r w:rsidRPr="0076628A">
        <w:rPr>
          <w:b/>
          <w:bCs/>
        </w:rPr>
        <w:t>JUNE 30, 20</w:t>
      </w:r>
      <w:r w:rsidR="00454614">
        <w:rPr>
          <w:b/>
          <w:bCs/>
        </w:rPr>
        <w:t>27</w:t>
      </w:r>
      <w:r w:rsidRPr="0076628A">
        <w:rPr>
          <w:b/>
          <w:bCs/>
        </w:rPr>
        <w:t>, THROUGH JUNE 30, 20</w:t>
      </w:r>
      <w:r w:rsidR="0075399F">
        <w:rPr>
          <w:b/>
          <w:bCs/>
        </w:rPr>
        <w:t>3</w:t>
      </w:r>
      <w:r w:rsidR="00454614">
        <w:rPr>
          <w:b/>
          <w:bCs/>
        </w:rPr>
        <w:t>1</w:t>
      </w:r>
    </w:p>
    <w:p w14:paraId="67042312" w14:textId="77777777" w:rsidR="0048792A" w:rsidRPr="0096591C" w:rsidRDefault="0048792A">
      <w:pPr>
        <w:jc w:val="center"/>
        <w:rPr>
          <w:b/>
          <w:bCs/>
        </w:rPr>
      </w:pPr>
    </w:p>
    <w:p w14:paraId="24C249F9" w14:textId="77777777" w:rsidR="00002D23" w:rsidRPr="0096591C" w:rsidRDefault="00002D23">
      <w:pPr>
        <w:jc w:val="center"/>
        <w:rPr>
          <w:b/>
          <w:bCs/>
        </w:rPr>
      </w:pPr>
    </w:p>
    <w:p w14:paraId="4C9CA687" w14:textId="77777777" w:rsidR="00002D23" w:rsidRPr="0096591C" w:rsidRDefault="00002D23">
      <w:pPr>
        <w:jc w:val="center"/>
        <w:rPr>
          <w:b/>
          <w:bCs/>
        </w:rPr>
      </w:pPr>
    </w:p>
    <w:p w14:paraId="30AD776A" w14:textId="77777777" w:rsidR="00E05416" w:rsidRPr="0096591C" w:rsidRDefault="00E05416">
      <w:pPr>
        <w:jc w:val="center"/>
        <w:rPr>
          <w:b/>
          <w:bCs/>
        </w:rPr>
      </w:pPr>
    </w:p>
    <w:p w14:paraId="09CAE657" w14:textId="456FF71B" w:rsidR="00002D23" w:rsidRDefault="00002D23">
      <w:pPr>
        <w:jc w:val="center"/>
        <w:rPr>
          <w:b/>
          <w:bCs/>
        </w:rPr>
      </w:pPr>
    </w:p>
    <w:p w14:paraId="7367A045" w14:textId="697C729F" w:rsidR="00B52EEC" w:rsidRDefault="00B52EEC">
      <w:pPr>
        <w:jc w:val="center"/>
        <w:rPr>
          <w:b/>
          <w:bCs/>
        </w:rPr>
      </w:pPr>
    </w:p>
    <w:p w14:paraId="66462BD4" w14:textId="2D0C5DB3" w:rsidR="00B52EEC" w:rsidRDefault="00B52EEC">
      <w:pPr>
        <w:jc w:val="center"/>
        <w:rPr>
          <w:b/>
          <w:bCs/>
        </w:rPr>
      </w:pPr>
    </w:p>
    <w:p w14:paraId="4E737544" w14:textId="3E66985B" w:rsidR="00B52EEC" w:rsidRDefault="00B52EEC">
      <w:pPr>
        <w:jc w:val="center"/>
        <w:rPr>
          <w:b/>
          <w:bCs/>
        </w:rPr>
      </w:pPr>
    </w:p>
    <w:p w14:paraId="00EFAF0F" w14:textId="061B7751" w:rsidR="00B52EEC" w:rsidRDefault="00B52EEC">
      <w:pPr>
        <w:jc w:val="center"/>
        <w:rPr>
          <w:b/>
          <w:bCs/>
        </w:rPr>
      </w:pPr>
    </w:p>
    <w:p w14:paraId="66BD1FFD" w14:textId="77777777" w:rsidR="00B52EEC" w:rsidRPr="0096591C" w:rsidRDefault="00B52EEC">
      <w:pPr>
        <w:jc w:val="center"/>
        <w:rPr>
          <w:b/>
          <w:bCs/>
        </w:rPr>
      </w:pPr>
    </w:p>
    <w:p w14:paraId="47F3605C" w14:textId="77777777" w:rsidR="00002D23" w:rsidRDefault="002B3CD9">
      <w:pPr>
        <w:jc w:val="center"/>
        <w:rPr>
          <w:noProof/>
        </w:rPr>
      </w:pPr>
      <w:r w:rsidRPr="00B27652">
        <w:rPr>
          <w:noProof/>
        </w:rPr>
        <w:drawing>
          <wp:inline distT="0" distB="0" distL="0" distR="0" wp14:anchorId="091EF191" wp14:editId="0325F5FC">
            <wp:extent cx="4848225" cy="1924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48225" cy="1924050"/>
                    </a:xfrm>
                    <a:prstGeom prst="rect">
                      <a:avLst/>
                    </a:prstGeom>
                    <a:noFill/>
                    <a:ln>
                      <a:noFill/>
                    </a:ln>
                  </pic:spPr>
                </pic:pic>
              </a:graphicData>
            </a:graphic>
          </wp:inline>
        </w:drawing>
      </w:r>
    </w:p>
    <w:p w14:paraId="5EC49192" w14:textId="77777777" w:rsidR="00002D23" w:rsidRPr="0096591C" w:rsidRDefault="00002D23">
      <w:pPr>
        <w:jc w:val="center"/>
        <w:rPr>
          <w:b/>
          <w:bCs/>
        </w:rPr>
      </w:pPr>
    </w:p>
    <w:p w14:paraId="36117A50" w14:textId="77777777" w:rsidR="00832EB0" w:rsidRPr="0096591C" w:rsidRDefault="00832EB0">
      <w:pPr>
        <w:jc w:val="center"/>
        <w:rPr>
          <w:b/>
          <w:bCs/>
        </w:rPr>
      </w:pPr>
    </w:p>
    <w:p w14:paraId="578E1498" w14:textId="77777777" w:rsidR="00832EB0" w:rsidRPr="0096591C" w:rsidRDefault="00832EB0">
      <w:pPr>
        <w:jc w:val="center"/>
        <w:rPr>
          <w:b/>
          <w:bCs/>
        </w:rPr>
      </w:pPr>
    </w:p>
    <w:p w14:paraId="00B8FAA4" w14:textId="77777777" w:rsidR="00832EB0" w:rsidRPr="0096591C" w:rsidRDefault="00832EB0">
      <w:pPr>
        <w:jc w:val="center"/>
        <w:rPr>
          <w:b/>
          <w:bCs/>
        </w:rPr>
      </w:pPr>
    </w:p>
    <w:p w14:paraId="53741CE0" w14:textId="77777777" w:rsidR="008F3730" w:rsidRPr="0096591C" w:rsidRDefault="008F3730">
      <w:pPr>
        <w:jc w:val="center"/>
        <w:rPr>
          <w:b/>
          <w:bCs/>
        </w:rPr>
      </w:pPr>
    </w:p>
    <w:p w14:paraId="2884992A" w14:textId="77777777" w:rsidR="00832EB0" w:rsidRPr="0096591C" w:rsidRDefault="00832EB0">
      <w:pPr>
        <w:jc w:val="center"/>
        <w:rPr>
          <w:b/>
          <w:bCs/>
        </w:rPr>
      </w:pPr>
    </w:p>
    <w:p w14:paraId="01F4B2C2" w14:textId="77777777" w:rsidR="00832EB0" w:rsidRPr="0096591C" w:rsidRDefault="00832EB0">
      <w:pPr>
        <w:jc w:val="center"/>
        <w:rPr>
          <w:b/>
          <w:bCs/>
        </w:rPr>
      </w:pPr>
    </w:p>
    <w:p w14:paraId="237A6F6E" w14:textId="77777777" w:rsidR="00832EB0" w:rsidRPr="0096591C" w:rsidRDefault="00832EB0">
      <w:pPr>
        <w:jc w:val="center"/>
        <w:rPr>
          <w:b/>
          <w:bCs/>
        </w:rPr>
      </w:pPr>
    </w:p>
    <w:p w14:paraId="2B119639" w14:textId="77777777" w:rsidR="00002D23" w:rsidRPr="0096591C" w:rsidRDefault="00002D23">
      <w:pPr>
        <w:jc w:val="center"/>
        <w:rPr>
          <w:b/>
          <w:bCs/>
        </w:rPr>
      </w:pPr>
    </w:p>
    <w:p w14:paraId="5CBCC938" w14:textId="77777777" w:rsidR="00E05416" w:rsidRPr="0096591C" w:rsidRDefault="00E05416">
      <w:pPr>
        <w:jc w:val="center"/>
        <w:rPr>
          <w:b/>
          <w:bCs/>
        </w:rPr>
      </w:pPr>
    </w:p>
    <w:p w14:paraId="5180523E" w14:textId="77777777" w:rsidR="00195ED3" w:rsidRPr="0096591C" w:rsidRDefault="00195ED3">
      <w:pPr>
        <w:jc w:val="center"/>
        <w:rPr>
          <w:b/>
          <w:bCs/>
        </w:rPr>
      </w:pPr>
    </w:p>
    <w:p w14:paraId="42DFF9C0" w14:textId="77777777" w:rsidR="00195ED3" w:rsidRPr="0096591C" w:rsidRDefault="00195ED3">
      <w:pPr>
        <w:jc w:val="center"/>
        <w:rPr>
          <w:b/>
          <w:bCs/>
        </w:rPr>
      </w:pPr>
    </w:p>
    <w:p w14:paraId="257D23CD" w14:textId="77777777" w:rsidR="00002D23" w:rsidRPr="0096591C" w:rsidRDefault="00002D23">
      <w:pPr>
        <w:jc w:val="center"/>
        <w:rPr>
          <w:b/>
          <w:bCs/>
        </w:rPr>
      </w:pPr>
      <w:r w:rsidRPr="0096591C">
        <w:rPr>
          <w:b/>
          <w:bCs/>
        </w:rPr>
        <w:t>Forecast Provided By</w:t>
      </w:r>
    </w:p>
    <w:p w14:paraId="4CD33C46" w14:textId="77777777" w:rsidR="00002D23" w:rsidRPr="0096591C" w:rsidRDefault="001E42E8" w:rsidP="00343157">
      <w:pPr>
        <w:jc w:val="center"/>
        <w:rPr>
          <w:b/>
          <w:bCs/>
        </w:rPr>
      </w:pPr>
      <w:r>
        <w:rPr>
          <w:b/>
          <w:bCs/>
        </w:rPr>
        <w:t>Galion City</w:t>
      </w:r>
      <w:r w:rsidR="00002D23" w:rsidRPr="0096591C">
        <w:rPr>
          <w:b/>
          <w:bCs/>
        </w:rPr>
        <w:t xml:space="preserve"> School District</w:t>
      </w:r>
    </w:p>
    <w:p w14:paraId="5EBC2A3C" w14:textId="77777777" w:rsidR="00002D23" w:rsidRPr="0096591C" w:rsidRDefault="00002D23">
      <w:pPr>
        <w:jc w:val="center"/>
        <w:rPr>
          <w:b/>
          <w:bCs/>
        </w:rPr>
      </w:pPr>
      <w:r w:rsidRPr="0096591C">
        <w:rPr>
          <w:b/>
          <w:bCs/>
        </w:rPr>
        <w:t>Treasurer's Office</w:t>
      </w:r>
    </w:p>
    <w:p w14:paraId="73AD33B5" w14:textId="4C138E1A" w:rsidR="00647A14" w:rsidRDefault="00691FA9">
      <w:pPr>
        <w:jc w:val="center"/>
        <w:rPr>
          <w:b/>
          <w:bCs/>
        </w:rPr>
      </w:pPr>
      <w:r>
        <w:rPr>
          <w:b/>
          <w:bCs/>
        </w:rPr>
        <w:t>Shannon King</w:t>
      </w:r>
      <w:r w:rsidR="007726F0" w:rsidRPr="00647A14">
        <w:rPr>
          <w:b/>
          <w:bCs/>
        </w:rPr>
        <w:t>,</w:t>
      </w:r>
      <w:r w:rsidR="00647A14" w:rsidRPr="00647A14">
        <w:rPr>
          <w:b/>
          <w:bCs/>
        </w:rPr>
        <w:t xml:space="preserve"> Treasurer</w:t>
      </w:r>
    </w:p>
    <w:p w14:paraId="56A5A6E1" w14:textId="614F366A" w:rsidR="00002D23" w:rsidRPr="0096591C" w:rsidRDefault="00454614">
      <w:pPr>
        <w:jc w:val="center"/>
        <w:rPr>
          <w:b/>
          <w:bCs/>
        </w:rPr>
      </w:pPr>
      <w:r>
        <w:rPr>
          <w:b/>
          <w:bCs/>
        </w:rPr>
        <w:t>August 11, 2026</w:t>
      </w:r>
    </w:p>
    <w:p w14:paraId="2BFFF6F5" w14:textId="77777777" w:rsidR="0025598B" w:rsidRPr="0096591C" w:rsidRDefault="0025598B" w:rsidP="0025598B"/>
    <w:p w14:paraId="15B1DA17" w14:textId="77777777" w:rsidR="00002D23" w:rsidRPr="006A0936" w:rsidRDefault="0025598B" w:rsidP="0025598B">
      <w:pPr>
        <w:jc w:val="center"/>
        <w:rPr>
          <w:rFonts w:ascii="Times" w:hAnsi="Times" w:cs="Times"/>
          <w:b/>
          <w:bCs/>
        </w:rPr>
      </w:pPr>
      <w:r w:rsidRPr="0096591C">
        <w:br w:type="page"/>
      </w:r>
      <w:r w:rsidR="001E42E8" w:rsidRPr="006A0936">
        <w:rPr>
          <w:rFonts w:ascii="Times" w:hAnsi="Times" w:cs="Times"/>
          <w:b/>
          <w:bCs/>
        </w:rPr>
        <w:lastRenderedPageBreak/>
        <w:t>Galion City</w:t>
      </w:r>
      <w:r w:rsidR="00002D23" w:rsidRPr="006A0936">
        <w:rPr>
          <w:rFonts w:ascii="Times" w:hAnsi="Times" w:cs="Times"/>
          <w:b/>
          <w:bCs/>
        </w:rPr>
        <w:t xml:space="preserve"> School District – </w:t>
      </w:r>
      <w:r w:rsidR="001E42E8" w:rsidRPr="006A0936">
        <w:rPr>
          <w:rFonts w:ascii="Times" w:hAnsi="Times" w:cs="Times"/>
          <w:b/>
          <w:bCs/>
        </w:rPr>
        <w:t>Crawford</w:t>
      </w:r>
      <w:r w:rsidR="00002D23" w:rsidRPr="006A0936">
        <w:rPr>
          <w:rFonts w:ascii="Times" w:hAnsi="Times" w:cs="Times"/>
          <w:b/>
          <w:bCs/>
        </w:rPr>
        <w:t xml:space="preserve"> County</w:t>
      </w:r>
    </w:p>
    <w:p w14:paraId="630869F6" w14:textId="2B5EE5B3" w:rsidR="00002D23" w:rsidRPr="006A0936" w:rsidRDefault="00002D23">
      <w:pPr>
        <w:jc w:val="center"/>
        <w:rPr>
          <w:rFonts w:ascii="Times" w:hAnsi="Times" w:cs="Times"/>
          <w:b/>
          <w:bCs/>
        </w:rPr>
      </w:pPr>
      <w:r w:rsidRPr="006A0936">
        <w:rPr>
          <w:rFonts w:ascii="Times" w:hAnsi="Times" w:cs="Times"/>
          <w:b/>
          <w:bCs/>
        </w:rPr>
        <w:t xml:space="preserve">Notes to the </w:t>
      </w:r>
      <w:r w:rsidR="00454614">
        <w:rPr>
          <w:rFonts w:ascii="Times" w:hAnsi="Times" w:cs="Times"/>
          <w:b/>
          <w:bCs/>
        </w:rPr>
        <w:t xml:space="preserve">Financial </w:t>
      </w:r>
      <w:r w:rsidRPr="006A0936">
        <w:rPr>
          <w:rFonts w:ascii="Times" w:hAnsi="Times" w:cs="Times"/>
          <w:b/>
          <w:bCs/>
        </w:rPr>
        <w:t>Forecast</w:t>
      </w:r>
    </w:p>
    <w:p w14:paraId="54D5F8C1" w14:textId="77777777" w:rsidR="00002D23" w:rsidRPr="006A0936" w:rsidRDefault="00002D23">
      <w:pPr>
        <w:jc w:val="center"/>
        <w:rPr>
          <w:rFonts w:ascii="Times" w:hAnsi="Times" w:cs="Times"/>
          <w:b/>
          <w:bCs/>
        </w:rPr>
      </w:pPr>
      <w:r w:rsidRPr="006A0936">
        <w:rPr>
          <w:rFonts w:ascii="Times" w:hAnsi="Times" w:cs="Times"/>
          <w:b/>
          <w:bCs/>
        </w:rPr>
        <w:t>General Fund Only</w:t>
      </w:r>
    </w:p>
    <w:p w14:paraId="48A82BD4" w14:textId="77777777" w:rsidR="00002D23" w:rsidRPr="006A0936" w:rsidRDefault="00002D23">
      <w:pPr>
        <w:jc w:val="center"/>
        <w:rPr>
          <w:rFonts w:ascii="Times" w:hAnsi="Times" w:cs="Times"/>
          <w:b/>
          <w:bCs/>
        </w:rPr>
      </w:pPr>
    </w:p>
    <w:p w14:paraId="76A64DE3" w14:textId="39A61C72" w:rsidR="0076628A" w:rsidRPr="006A0936" w:rsidRDefault="0076628A" w:rsidP="0076628A">
      <w:pPr>
        <w:keepNext/>
        <w:outlineLvl w:val="1"/>
        <w:rPr>
          <w:rFonts w:ascii="Times" w:hAnsi="Times" w:cs="Times"/>
          <w:b/>
          <w:bCs/>
          <w:lang w:val="x-none" w:eastAsia="x-none"/>
        </w:rPr>
      </w:pPr>
      <w:r w:rsidRPr="006A0936">
        <w:rPr>
          <w:rFonts w:ascii="Times" w:hAnsi="Times" w:cs="Times"/>
          <w:b/>
          <w:bCs/>
          <w:lang w:val="x-none" w:eastAsia="x-none"/>
        </w:rPr>
        <w:t xml:space="preserve">Introduction to the </w:t>
      </w:r>
      <w:r w:rsidRPr="006A0936">
        <w:rPr>
          <w:rFonts w:ascii="Times" w:hAnsi="Times" w:cs="Times"/>
          <w:b/>
          <w:bCs/>
          <w:lang w:eastAsia="x-none"/>
        </w:rPr>
        <w:t>F</w:t>
      </w:r>
      <w:r w:rsidR="00454614">
        <w:rPr>
          <w:rFonts w:ascii="Times" w:hAnsi="Times" w:cs="Times"/>
          <w:b/>
          <w:bCs/>
          <w:lang w:eastAsia="x-none"/>
        </w:rPr>
        <w:t>inancial</w:t>
      </w:r>
      <w:r w:rsidRPr="006A0936">
        <w:rPr>
          <w:rFonts w:ascii="Times" w:hAnsi="Times" w:cs="Times"/>
          <w:b/>
          <w:bCs/>
          <w:lang w:val="x-none" w:eastAsia="x-none"/>
        </w:rPr>
        <w:t xml:space="preserve"> Forecast</w:t>
      </w:r>
    </w:p>
    <w:p w14:paraId="384E9728" w14:textId="4C885A37" w:rsidR="0075399F" w:rsidRPr="0075399F" w:rsidRDefault="0075399F" w:rsidP="0075399F">
      <w:pPr>
        <w:rPr>
          <w:rFonts w:ascii="Times" w:hAnsi="Times" w:cs="Times"/>
        </w:rPr>
      </w:pPr>
      <w:bookmarkStart w:id="0" w:name="_Hlk179209471"/>
      <w:r w:rsidRPr="0075399F">
        <w:rPr>
          <w:rFonts w:ascii="Times" w:hAnsi="Times" w:cs="Times"/>
        </w:rPr>
        <w:t xml:space="preserve">A forecast is a snapshot of today. Based on historical trends, what we know and future assumptions. That snapshot, however, will be adjusted because the further into the future the forecast extends, the more likely it is that the projections will deviate from experience. Various events will ultimately impact the latter years of the forecast, such as state budgets (adopted every two years), new state mandates, tax levies, property reappraisals and updates, salary increases, health insurance increases, enrollment variances, or changes to property valuations due to businesses moving in or out of the district. </w:t>
      </w:r>
    </w:p>
    <w:p w14:paraId="3A09BBB0" w14:textId="77777777" w:rsidR="0075399F" w:rsidRPr="0075399F" w:rsidRDefault="0075399F" w:rsidP="0075399F">
      <w:pPr>
        <w:rPr>
          <w:rFonts w:ascii="Times" w:hAnsi="Times" w:cs="Times"/>
        </w:rPr>
      </w:pPr>
    </w:p>
    <w:p w14:paraId="227226D5" w14:textId="6BDDF19D" w:rsidR="0075399F" w:rsidRPr="009D2B15" w:rsidRDefault="0075399F" w:rsidP="0075399F">
      <w:pPr>
        <w:rPr>
          <w:rFonts w:ascii="Times" w:hAnsi="Times" w:cs="Times"/>
        </w:rPr>
      </w:pPr>
      <w:r w:rsidRPr="0075399F">
        <w:rPr>
          <w:rFonts w:ascii="Times" w:hAnsi="Times" w:cs="Times"/>
        </w:rPr>
        <w:t>As noted below the current state budget approved in HB96 changed the forecast based on what the state</w:t>
      </w:r>
      <w:r w:rsidR="00A84ADA">
        <w:rPr>
          <w:rFonts w:ascii="Times" w:hAnsi="Times" w:cs="Times"/>
        </w:rPr>
        <w:t xml:space="preserve"> of</w:t>
      </w:r>
      <w:r w:rsidRPr="0075399F">
        <w:rPr>
          <w:rFonts w:ascii="Times" w:hAnsi="Times" w:cs="Times"/>
        </w:rPr>
        <w:t xml:space="preserve"> Ohio and the Ohio Department of Workforce and Education will require, however the Board of Education will continue to plan over a five-year period. Our district leadership believes that the five-year forecast is a crucial management tool. A five-year planning horizon enables district management teams to examine future years’ projections and identify when challenges will arise. This helps district management to be proactive in meeting those challenges. </w:t>
      </w:r>
    </w:p>
    <w:bookmarkEnd w:id="0"/>
    <w:p w14:paraId="5647516D" w14:textId="77777777" w:rsidR="0076628A" w:rsidRPr="006A0936" w:rsidRDefault="0076628A" w:rsidP="0076628A">
      <w:pPr>
        <w:rPr>
          <w:rFonts w:ascii="Times" w:hAnsi="Times" w:cs="Times"/>
        </w:rPr>
      </w:pPr>
    </w:p>
    <w:p w14:paraId="090B9446" w14:textId="77777777" w:rsidR="0076628A" w:rsidRPr="006A0936" w:rsidRDefault="0076628A" w:rsidP="0076628A">
      <w:pPr>
        <w:rPr>
          <w:rFonts w:ascii="Times" w:hAnsi="Times" w:cs="Times"/>
        </w:rPr>
      </w:pPr>
      <w:r w:rsidRPr="006A0936">
        <w:rPr>
          <w:rFonts w:ascii="Times" w:hAnsi="Times" w:cs="Times"/>
        </w:rPr>
        <w:t>In a financial forecast, the numbers only tell a small part of the story. For the numbers to be meaningful, the reader must review and consider the Assumptions of the Financial Forecast before drawing conclusions or using the data as a basis for other calculations. The assumptions are fundamental to understanding the rationale of the numbers, particularly when a significant increase or decrease is reflected.</w:t>
      </w:r>
    </w:p>
    <w:p w14:paraId="1C43F475" w14:textId="77777777" w:rsidR="0076628A" w:rsidRPr="006A0936" w:rsidRDefault="0076628A" w:rsidP="0076628A">
      <w:pPr>
        <w:rPr>
          <w:rFonts w:ascii="Times" w:hAnsi="Times" w:cs="Times"/>
        </w:rPr>
      </w:pPr>
    </w:p>
    <w:p w14:paraId="7605FABA" w14:textId="77777777" w:rsidR="0076628A" w:rsidRPr="006A0936" w:rsidRDefault="0076628A" w:rsidP="0076628A">
      <w:pPr>
        <w:rPr>
          <w:rFonts w:ascii="Times" w:hAnsi="Times" w:cs="Times"/>
        </w:rPr>
      </w:pPr>
      <w:r w:rsidRPr="006A0936">
        <w:rPr>
          <w:rFonts w:ascii="Times" w:hAnsi="Times" w:cs="Times"/>
        </w:rPr>
        <w:t>Since the preparation of a meaningful five-year forecast is as much an art as it is a science and entails many intricacies, it is recommended that you contact the Treasurer/Chief Fiscal Officer of the school district with any questions you may have. The Treasurer/CFO submits the forecast, but the Board of Education is recognized as the official owner of the forecast.</w:t>
      </w:r>
    </w:p>
    <w:p w14:paraId="5E70A3AF" w14:textId="77777777" w:rsidR="0076628A" w:rsidRPr="006A0936" w:rsidRDefault="0076628A" w:rsidP="0076628A">
      <w:pPr>
        <w:rPr>
          <w:rFonts w:ascii="Times" w:hAnsi="Times" w:cs="Times"/>
        </w:rPr>
      </w:pPr>
    </w:p>
    <w:p w14:paraId="224462FE" w14:textId="77777777" w:rsidR="0076628A" w:rsidRPr="006A0936" w:rsidRDefault="0076628A" w:rsidP="0076628A">
      <w:pPr>
        <w:rPr>
          <w:rFonts w:ascii="Times" w:hAnsi="Times" w:cs="Times"/>
        </w:rPr>
      </w:pPr>
      <w:r w:rsidRPr="006A0936">
        <w:rPr>
          <w:rFonts w:ascii="Times" w:hAnsi="Times" w:cs="Times"/>
        </w:rPr>
        <w:t>Here are three essential purposes or objectives of the five-year forecast:</w:t>
      </w:r>
    </w:p>
    <w:p w14:paraId="34966BC3" w14:textId="77777777" w:rsidR="0076628A" w:rsidRPr="006A0936" w:rsidRDefault="0076628A" w:rsidP="0076628A">
      <w:pPr>
        <w:pStyle w:val="ListParagraph"/>
        <w:widowControl w:val="0"/>
        <w:numPr>
          <w:ilvl w:val="0"/>
          <w:numId w:val="27"/>
        </w:numPr>
        <w:contextualSpacing w:val="0"/>
        <w:rPr>
          <w:rFonts w:ascii="Times" w:hAnsi="Times" w:cs="Times"/>
        </w:rPr>
      </w:pPr>
      <w:r w:rsidRPr="006A0936">
        <w:rPr>
          <w:rFonts w:ascii="Times" w:hAnsi="Times" w:cs="Times"/>
        </w:rPr>
        <w:t xml:space="preserve">To engage the local board of education and the community in long-range planning and discussions of financial issues facing the school district </w:t>
      </w:r>
    </w:p>
    <w:p w14:paraId="09B0E83E" w14:textId="77777777" w:rsidR="0076628A" w:rsidRPr="006A0936" w:rsidRDefault="0076628A" w:rsidP="0076628A">
      <w:pPr>
        <w:pStyle w:val="ListParagraph"/>
        <w:widowControl w:val="0"/>
        <w:numPr>
          <w:ilvl w:val="0"/>
          <w:numId w:val="27"/>
        </w:numPr>
        <w:contextualSpacing w:val="0"/>
        <w:rPr>
          <w:rFonts w:ascii="Times" w:hAnsi="Times" w:cs="Times"/>
        </w:rPr>
      </w:pPr>
      <w:r w:rsidRPr="006A0936">
        <w:rPr>
          <w:rFonts w:ascii="Times" w:hAnsi="Times" w:cs="Times"/>
        </w:rPr>
        <w:t xml:space="preserve">To serve as a basis for determining the school district’s ability to sign the certificate required by O.R.C. §5705.412, commonly known as the “412 certificate” </w:t>
      </w:r>
    </w:p>
    <w:p w14:paraId="0D476345" w14:textId="77777777" w:rsidR="006A0936" w:rsidRPr="006A0936" w:rsidRDefault="006A0936" w:rsidP="006A0936">
      <w:pPr>
        <w:pStyle w:val="ListParagraph"/>
        <w:widowControl w:val="0"/>
        <w:numPr>
          <w:ilvl w:val="0"/>
          <w:numId w:val="27"/>
        </w:numPr>
        <w:contextualSpacing w:val="0"/>
        <w:rPr>
          <w:rFonts w:ascii="Times" w:hAnsi="Times" w:cs="Times"/>
        </w:rPr>
      </w:pPr>
      <w:r w:rsidRPr="006A0936">
        <w:rPr>
          <w:rFonts w:ascii="Times" w:hAnsi="Times" w:cs="Times"/>
        </w:rPr>
        <w:t>To provide a method for the Ohio Department of Education and Workforce, and the Auditor of State to identify school districts with potential financial problems.</w:t>
      </w:r>
    </w:p>
    <w:p w14:paraId="0459A645" w14:textId="77777777" w:rsidR="0076628A" w:rsidRPr="006A0936" w:rsidRDefault="0076628A" w:rsidP="0076628A">
      <w:pPr>
        <w:pStyle w:val="ListParagraph"/>
        <w:rPr>
          <w:rFonts w:ascii="Times" w:hAnsi="Times" w:cs="Times"/>
        </w:rPr>
      </w:pPr>
    </w:p>
    <w:p w14:paraId="0762B708" w14:textId="6EACCD4F" w:rsidR="007C2CF0" w:rsidRDefault="007C2CF0" w:rsidP="007C2CF0">
      <w:pPr>
        <w:contextualSpacing/>
      </w:pPr>
      <w:bookmarkStart w:id="1" w:name="_Hlk235980637"/>
      <w:r w:rsidRPr="002F21BC">
        <w:t xml:space="preserve">Ohio HB96 was passed in June 2025 which amended O.R.C. 5705.391 and O.A.C. 3301-92.04 requiring a Board of Education (BOE) to file their current years budgeted </w:t>
      </w:r>
      <w:r w:rsidRPr="00147A92">
        <w:t>revenue and expenses, and three additional years. This is essentially a four (4) year forecast. Beginning in fiscal year 2026 (July 1 to June 30) the financial forecast must be filed by October 15, and the end of February.  The filing deadlines will change in fiscal year 2027 to August 31, and end of February each fiscal year thereafter.  The filing deadlines of February and August are out of alignment with when final 1</w:t>
      </w:r>
      <w:r w:rsidRPr="00147A92">
        <w:rPr>
          <w:vertAlign w:val="superscript"/>
        </w:rPr>
        <w:t>st</w:t>
      </w:r>
      <w:r w:rsidRPr="00147A92">
        <w:t xml:space="preserve"> half and 2</w:t>
      </w:r>
      <w:r w:rsidRPr="00147A92">
        <w:rPr>
          <w:vertAlign w:val="superscript"/>
        </w:rPr>
        <w:t>nd</w:t>
      </w:r>
      <w:r w:rsidRPr="00147A92">
        <w:t xml:space="preserve"> half tax settlements will actually be received in most cases, and the August 31 deadline is out of alignment with when school districts statutorily have to make final fiscal year appropriations which is September 30</w:t>
      </w:r>
      <w:r w:rsidRPr="00147A92">
        <w:rPr>
          <w:vertAlign w:val="superscript"/>
        </w:rPr>
        <w:t>th</w:t>
      </w:r>
      <w:r w:rsidRPr="00147A92">
        <w:t xml:space="preserve"> of each year.</w:t>
      </w:r>
      <w:bookmarkEnd w:id="1"/>
    </w:p>
    <w:p w14:paraId="549C9F42" w14:textId="253F4B52" w:rsidR="00942C4D" w:rsidRDefault="00942C4D" w:rsidP="00942C4D">
      <w:pPr>
        <w:rPr>
          <w:rFonts w:ascii="Times" w:hAnsi="Times" w:cs="Times"/>
          <w:b/>
        </w:rPr>
      </w:pPr>
    </w:p>
    <w:p w14:paraId="34775465" w14:textId="77777777" w:rsidR="00A84ADA" w:rsidRDefault="00A84ADA" w:rsidP="00A84ADA">
      <w:pPr>
        <w:contextualSpacing/>
      </w:pPr>
    </w:p>
    <w:p w14:paraId="60ED8852" w14:textId="77777777" w:rsidR="00A84ADA" w:rsidRDefault="00A84ADA" w:rsidP="00A84ADA">
      <w:pPr>
        <w:contextualSpacing/>
        <w:jc w:val="center"/>
      </w:pPr>
      <w:r>
        <w:rPr>
          <w:noProof/>
        </w:rPr>
        <w:lastRenderedPageBreak/>
        <w:drawing>
          <wp:inline distT="0" distB="0" distL="0" distR="0" wp14:anchorId="6E539357" wp14:editId="1748741C">
            <wp:extent cx="6086475" cy="3100721"/>
            <wp:effectExtent l="0" t="0" r="0" b="4445"/>
            <wp:docPr id="955157284" name="Picture 1" descr="A table with text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157284" name="Picture 1" descr="A table with text and numbers&#10;&#10;AI-generated content may be incorrect."/>
                    <pic:cNvPicPr/>
                  </pic:nvPicPr>
                  <pic:blipFill>
                    <a:blip r:embed="rId9"/>
                    <a:stretch>
                      <a:fillRect/>
                    </a:stretch>
                  </pic:blipFill>
                  <pic:spPr>
                    <a:xfrm>
                      <a:off x="0" y="0"/>
                      <a:ext cx="6091394" cy="3103227"/>
                    </a:xfrm>
                    <a:prstGeom prst="rect">
                      <a:avLst/>
                    </a:prstGeom>
                  </pic:spPr>
                </pic:pic>
              </a:graphicData>
            </a:graphic>
          </wp:inline>
        </w:drawing>
      </w:r>
    </w:p>
    <w:p w14:paraId="1393A5A2" w14:textId="77777777" w:rsidR="00A84ADA" w:rsidRDefault="00A84ADA" w:rsidP="00A84ADA">
      <w:pPr>
        <w:contextualSpacing/>
      </w:pPr>
    </w:p>
    <w:p w14:paraId="2245E449" w14:textId="77777777" w:rsidR="00A84ADA" w:rsidRPr="00147A92" w:rsidRDefault="00A84ADA" w:rsidP="00A84ADA">
      <w:pPr>
        <w:contextualSpacing/>
      </w:pPr>
      <w:r w:rsidRPr="002F21BC">
        <w:t xml:space="preserve">While the legislative requirement is to file a four-year forecast, as noted above, we believe it is a prudent business practice to continue to develop a five-year forecast for planning purposes.  The five-year forecast includes three years of </w:t>
      </w:r>
      <w:r w:rsidRPr="00147A92">
        <w:t>actual and five years of projected general fund revenues and expenditures. The first year of the financial forecast is considered the current year budget and is used as the base for future years projections. Our forecast is updated to reflect the most current economic data available for the August 2026 filing.</w:t>
      </w:r>
    </w:p>
    <w:p w14:paraId="6B5E0217" w14:textId="77777777" w:rsidR="002C3A90" w:rsidRPr="00147A92" w:rsidRDefault="002C3A90" w:rsidP="00CD415F">
      <w:pPr>
        <w:rPr>
          <w:rFonts w:ascii="Times" w:hAnsi="Times"/>
        </w:rPr>
      </w:pPr>
    </w:p>
    <w:p w14:paraId="10832093" w14:textId="77777777" w:rsidR="003F16C1" w:rsidRPr="00147A92" w:rsidRDefault="003F16C1" w:rsidP="003F16C1">
      <w:pPr>
        <w:rPr>
          <w:rFonts w:ascii="Times" w:hAnsi="Times" w:cs="Times"/>
          <w:b/>
          <w:u w:val="single"/>
        </w:rPr>
      </w:pPr>
      <w:r w:rsidRPr="00147A92">
        <w:rPr>
          <w:rFonts w:ascii="Times" w:hAnsi="Times" w:cs="Times"/>
          <w:b/>
        </w:rPr>
        <w:t>Forecast Risks and Uncertainty:</w:t>
      </w:r>
    </w:p>
    <w:p w14:paraId="4F6B832C" w14:textId="7526AAE2" w:rsidR="00A84ADA" w:rsidRPr="00147A92" w:rsidRDefault="00A84ADA" w:rsidP="00A84ADA">
      <w:pPr>
        <w:contextualSpacing/>
      </w:pPr>
      <w:bookmarkStart w:id="2" w:name="_Hlk235980747"/>
      <w:bookmarkStart w:id="3" w:name="_Hlk220146593"/>
      <w:r w:rsidRPr="00147A92">
        <w:t xml:space="preserve">This financial forecast has risks and uncertainty due to economic changes, new property tax laws noted below and also due to state legislative changes that will occur in the spring of 2027 and 2029 due to deliberation of the two (2) state biennium budgets for FY28-29 and FY30-31, all of which affect this forecast. </w:t>
      </w:r>
    </w:p>
    <w:bookmarkEnd w:id="2"/>
    <w:p w14:paraId="6A942166" w14:textId="77777777" w:rsidR="00A84ADA" w:rsidRPr="00147A92" w:rsidRDefault="00A84ADA" w:rsidP="00A84ADA">
      <w:pPr>
        <w:contextualSpacing/>
      </w:pPr>
    </w:p>
    <w:p w14:paraId="76651FA2" w14:textId="77777777" w:rsidR="00891544" w:rsidRPr="00147A92" w:rsidRDefault="00891544" w:rsidP="00891544">
      <w:pPr>
        <w:jc w:val="both"/>
        <w:rPr>
          <w:rFonts w:ascii="Times" w:hAnsi="Times"/>
        </w:rPr>
      </w:pPr>
      <w:r w:rsidRPr="00147A92">
        <w:rPr>
          <w:rFonts w:ascii="Times" w:hAnsi="Times" w:cs="Times"/>
        </w:rPr>
        <w:t>Data and assumptions noted in this forecast are based on the best and most reliable data available to us as of the date of this forecast.</w:t>
      </w:r>
      <w:r w:rsidRPr="00147A92">
        <w:rPr>
          <w:rFonts w:ascii="Times" w:hAnsi="Times"/>
        </w:rPr>
        <w:t xml:space="preserve"> The items below give a short description of the current issues and how they may affect our forecast in the long term:</w:t>
      </w:r>
    </w:p>
    <w:bookmarkEnd w:id="3"/>
    <w:p w14:paraId="4269CD84" w14:textId="2515B59E" w:rsidR="005465E2" w:rsidRPr="00147A92" w:rsidRDefault="005465E2" w:rsidP="005465E2">
      <w:pPr>
        <w:contextualSpacing/>
        <w:rPr>
          <w:rFonts w:ascii="Times" w:hAnsi="Times" w:cs="Times"/>
        </w:rPr>
      </w:pPr>
    </w:p>
    <w:p w14:paraId="5D89138A" w14:textId="582C2FBD" w:rsidR="00A84ADA" w:rsidRPr="00147A92" w:rsidRDefault="00A84ADA" w:rsidP="00A84ADA">
      <w:pPr>
        <w:pStyle w:val="ListParagraph"/>
        <w:numPr>
          <w:ilvl w:val="0"/>
          <w:numId w:val="4"/>
        </w:numPr>
        <w:autoSpaceDE w:val="0"/>
        <w:autoSpaceDN w:val="0"/>
        <w:adjustRightInd w:val="0"/>
      </w:pPr>
      <w:bookmarkStart w:id="4" w:name="_Hlk235980773"/>
      <w:bookmarkStart w:id="5" w:name="_Hlk220146635"/>
      <w:r w:rsidRPr="00147A92">
        <w:t xml:space="preserve">On December 19, 2025, Governor DeWine signed into law several pieces of legislation that became law March 19, 2026, and are the most sweeping changes to Ohio property tax law since 1976 when HB920 was passed.   The laws that were approved are: HB129, HB186, HB309 and HB335. Subsequently HB479 the state budget correction bill was signed June 24, 2026, and becomes law September 23, 2026, that made needed corrections to HB335 inside millage. Of particular concern is HB186 which implements new property tax caps retroactively for property reappraisal and triennial updates that occurred in tax year 2023, 2024 and 2025.  Due to the complexity of these calculations, the Ohio Department of Taxation (ODT) has been charged with calculating the effects of this legislation and notifying Ohio’s 88 county auditors as to the impact on property tax bills and subsequent tax settlements to local governments.  </w:t>
      </w:r>
    </w:p>
    <w:bookmarkEnd w:id="4"/>
    <w:p w14:paraId="6EBF7749" w14:textId="77777777" w:rsidR="00A84ADA" w:rsidRDefault="00A84ADA" w:rsidP="00A84ADA">
      <w:pPr>
        <w:pStyle w:val="ListParagraph"/>
        <w:autoSpaceDE w:val="0"/>
        <w:autoSpaceDN w:val="0"/>
        <w:adjustRightInd w:val="0"/>
      </w:pPr>
    </w:p>
    <w:p w14:paraId="425029C6" w14:textId="77777777" w:rsidR="00A84ADA" w:rsidRDefault="00A84ADA" w:rsidP="00A84ADA">
      <w:pPr>
        <w:pStyle w:val="ListParagraph"/>
        <w:autoSpaceDE w:val="0"/>
        <w:autoSpaceDN w:val="0"/>
        <w:adjustRightInd w:val="0"/>
      </w:pPr>
      <w:r>
        <w:t>A brief summary of the impact of each piece of legislation is noted below with specific anticipated impacts to this forecast noted in Estimated Real Estate Tax Line 1.01 section of these assumptions below:</w:t>
      </w:r>
    </w:p>
    <w:p w14:paraId="48BD9273" w14:textId="77777777" w:rsidR="00B17BEB" w:rsidRDefault="00B17BEB" w:rsidP="00A84ADA">
      <w:pPr>
        <w:pStyle w:val="ListParagraph"/>
        <w:autoSpaceDE w:val="0"/>
        <w:autoSpaceDN w:val="0"/>
        <w:adjustRightInd w:val="0"/>
      </w:pPr>
    </w:p>
    <w:p w14:paraId="51EA8B94" w14:textId="77777777" w:rsidR="00A84ADA" w:rsidRPr="00EA326B" w:rsidRDefault="00A84ADA" w:rsidP="00A84ADA">
      <w:pPr>
        <w:autoSpaceDE w:val="0"/>
        <w:autoSpaceDN w:val="0"/>
        <w:adjustRightInd w:val="0"/>
        <w:contextualSpacing/>
        <w:rPr>
          <w:b/>
          <w:bCs/>
        </w:rPr>
      </w:pPr>
      <w:bookmarkStart w:id="6" w:name="_Hlk235981104"/>
      <w:r w:rsidRPr="00EA326B">
        <w:rPr>
          <w:b/>
          <w:bCs/>
        </w:rPr>
        <w:lastRenderedPageBreak/>
        <w:t>Primary Legislative Drivers of Fiscal Risk</w:t>
      </w:r>
    </w:p>
    <w:tbl>
      <w:tblPr>
        <w:tblW w:w="4837"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30"/>
        <w:gridCol w:w="4842"/>
        <w:gridCol w:w="3805"/>
      </w:tblGrid>
      <w:tr w:rsidR="00A84ADA" w:rsidRPr="00EA326B" w14:paraId="0809D76F" w14:textId="77777777" w:rsidTr="00AA2492">
        <w:tc>
          <w:tcPr>
            <w:tcW w:w="0" w:type="auto"/>
            <w:tcBorders>
              <w:top w:val="outset" w:sz="6" w:space="0" w:color="auto"/>
              <w:bottom w:val="outset" w:sz="6" w:space="0" w:color="auto"/>
              <w:right w:val="outset" w:sz="6" w:space="0" w:color="auto"/>
            </w:tcBorders>
            <w:vAlign w:val="center"/>
            <w:hideMark/>
          </w:tcPr>
          <w:p w14:paraId="2DF97BD1" w14:textId="77777777" w:rsidR="00A84ADA" w:rsidRPr="00EA326B" w:rsidRDefault="00A84ADA" w:rsidP="00AA2492">
            <w:pPr>
              <w:pStyle w:val="ListParagraph"/>
              <w:autoSpaceDE w:val="0"/>
              <w:autoSpaceDN w:val="0"/>
              <w:adjustRightInd w:val="0"/>
            </w:pPr>
            <w:r w:rsidRPr="00EA326B">
              <w:t>Legislation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570FCC9A" w14:textId="77777777" w:rsidR="00A84ADA" w:rsidRPr="00EA326B" w:rsidRDefault="00A84ADA" w:rsidP="00AA2492">
            <w:pPr>
              <w:pStyle w:val="ListParagraph"/>
              <w:autoSpaceDE w:val="0"/>
              <w:autoSpaceDN w:val="0"/>
              <w:adjustRightInd w:val="0"/>
            </w:pPr>
            <w:r w:rsidRPr="00EA326B">
              <w:t>Core Provision</w:t>
            </w:r>
          </w:p>
        </w:tc>
        <w:tc>
          <w:tcPr>
            <w:tcW w:w="1816" w:type="pct"/>
            <w:tcBorders>
              <w:top w:val="outset" w:sz="6" w:space="0" w:color="auto"/>
              <w:left w:val="outset" w:sz="6" w:space="0" w:color="auto"/>
              <w:bottom w:val="outset" w:sz="6" w:space="0" w:color="auto"/>
            </w:tcBorders>
            <w:vAlign w:val="center"/>
            <w:hideMark/>
          </w:tcPr>
          <w:p w14:paraId="14291B52" w14:textId="77777777" w:rsidR="00A84ADA" w:rsidRPr="00EA326B" w:rsidRDefault="00A84ADA" w:rsidP="00AA2492">
            <w:pPr>
              <w:pStyle w:val="ListParagraph"/>
              <w:autoSpaceDE w:val="0"/>
              <w:autoSpaceDN w:val="0"/>
              <w:adjustRightInd w:val="0"/>
            </w:pPr>
            <w:r w:rsidRPr="00EA326B">
              <w:t>District Financial Impact</w:t>
            </w:r>
          </w:p>
        </w:tc>
      </w:tr>
      <w:tr w:rsidR="00A84ADA" w:rsidRPr="00EA326B" w14:paraId="07A687F0" w14:textId="77777777" w:rsidTr="00AA2492">
        <w:tc>
          <w:tcPr>
            <w:tcW w:w="0" w:type="auto"/>
            <w:tcBorders>
              <w:top w:val="outset" w:sz="6" w:space="0" w:color="auto"/>
              <w:bottom w:val="outset" w:sz="6" w:space="0" w:color="auto"/>
              <w:right w:val="outset" w:sz="6" w:space="0" w:color="auto"/>
            </w:tcBorders>
            <w:vAlign w:val="center"/>
            <w:hideMark/>
          </w:tcPr>
          <w:p w14:paraId="7C9A6B1A" w14:textId="77777777" w:rsidR="00A84ADA" w:rsidRPr="00EA326B" w:rsidRDefault="00A84ADA" w:rsidP="00AA2492">
            <w:pPr>
              <w:pStyle w:val="ListParagraph"/>
              <w:autoSpaceDE w:val="0"/>
              <w:autoSpaceDN w:val="0"/>
              <w:adjustRightInd w:val="0"/>
            </w:pPr>
            <w:r w:rsidRPr="00EA326B">
              <w:rPr>
                <w:b/>
                <w:bCs/>
              </w:rPr>
              <w:t>HB129</w:t>
            </w:r>
          </w:p>
        </w:tc>
        <w:tc>
          <w:tcPr>
            <w:tcW w:w="0" w:type="auto"/>
            <w:tcBorders>
              <w:top w:val="outset" w:sz="6" w:space="0" w:color="auto"/>
              <w:left w:val="outset" w:sz="6" w:space="0" w:color="auto"/>
              <w:bottom w:val="outset" w:sz="6" w:space="0" w:color="auto"/>
              <w:right w:val="outset" w:sz="6" w:space="0" w:color="auto"/>
            </w:tcBorders>
            <w:vAlign w:val="center"/>
            <w:hideMark/>
          </w:tcPr>
          <w:p w14:paraId="4B0BC3F9" w14:textId="77777777" w:rsidR="00A84ADA" w:rsidRPr="00EA326B" w:rsidRDefault="00A84ADA" w:rsidP="00AA2492">
            <w:pPr>
              <w:pStyle w:val="ListParagraph"/>
              <w:autoSpaceDE w:val="0"/>
              <w:autoSpaceDN w:val="0"/>
              <w:adjustRightInd w:val="0"/>
            </w:pPr>
            <w:r w:rsidRPr="00EA326B">
              <w:t>Reclassifies fixed-sum (emergency/substitute) levies to be included in "20-mill floor" calculations.</w:t>
            </w:r>
          </w:p>
        </w:tc>
        <w:tc>
          <w:tcPr>
            <w:tcW w:w="1816" w:type="pct"/>
            <w:tcBorders>
              <w:top w:val="outset" w:sz="6" w:space="0" w:color="auto"/>
              <w:left w:val="outset" w:sz="6" w:space="0" w:color="auto"/>
              <w:bottom w:val="outset" w:sz="6" w:space="0" w:color="auto"/>
            </w:tcBorders>
            <w:vAlign w:val="center"/>
            <w:hideMark/>
          </w:tcPr>
          <w:p w14:paraId="1D6A074B" w14:textId="6577E487" w:rsidR="00A84ADA" w:rsidRPr="00147A92" w:rsidRDefault="00A84ADA" w:rsidP="00AA2492">
            <w:pPr>
              <w:pStyle w:val="ListParagraph"/>
              <w:autoSpaceDE w:val="0"/>
              <w:autoSpaceDN w:val="0"/>
              <w:adjustRightInd w:val="0"/>
            </w:pPr>
            <w:r w:rsidRPr="00147A92">
              <w:t>No Impact to our district.</w:t>
            </w:r>
          </w:p>
        </w:tc>
      </w:tr>
      <w:tr w:rsidR="00A84ADA" w:rsidRPr="00EA326B" w14:paraId="3F0FE0E1" w14:textId="77777777" w:rsidTr="00AA2492">
        <w:tc>
          <w:tcPr>
            <w:tcW w:w="0" w:type="auto"/>
            <w:tcBorders>
              <w:top w:val="outset" w:sz="6" w:space="0" w:color="auto"/>
              <w:bottom w:val="outset" w:sz="6" w:space="0" w:color="auto"/>
              <w:right w:val="outset" w:sz="6" w:space="0" w:color="auto"/>
            </w:tcBorders>
            <w:vAlign w:val="center"/>
            <w:hideMark/>
          </w:tcPr>
          <w:p w14:paraId="1AB9C4CD" w14:textId="77777777" w:rsidR="00A84ADA" w:rsidRPr="00EA326B" w:rsidRDefault="00A84ADA" w:rsidP="00AA2492">
            <w:pPr>
              <w:pStyle w:val="ListParagraph"/>
              <w:autoSpaceDE w:val="0"/>
              <w:autoSpaceDN w:val="0"/>
              <w:adjustRightInd w:val="0"/>
            </w:pPr>
            <w:r w:rsidRPr="00EA326B">
              <w:rPr>
                <w:b/>
                <w:bCs/>
              </w:rPr>
              <w:t>HB186</w:t>
            </w:r>
          </w:p>
        </w:tc>
        <w:tc>
          <w:tcPr>
            <w:tcW w:w="0" w:type="auto"/>
            <w:tcBorders>
              <w:top w:val="outset" w:sz="6" w:space="0" w:color="auto"/>
              <w:left w:val="outset" w:sz="6" w:space="0" w:color="auto"/>
              <w:bottom w:val="outset" w:sz="6" w:space="0" w:color="auto"/>
              <w:right w:val="outset" w:sz="6" w:space="0" w:color="auto"/>
            </w:tcBorders>
            <w:vAlign w:val="center"/>
            <w:hideMark/>
          </w:tcPr>
          <w:p w14:paraId="63BFB24E" w14:textId="27BE3C94" w:rsidR="00A84ADA" w:rsidRPr="00EA326B" w:rsidRDefault="00A84ADA" w:rsidP="00AA2492">
            <w:pPr>
              <w:pStyle w:val="ListParagraph"/>
              <w:autoSpaceDE w:val="0"/>
              <w:autoSpaceDN w:val="0"/>
              <w:adjustRightInd w:val="0"/>
            </w:pPr>
            <w:r w:rsidRPr="00EA326B">
              <w:t>Establishes "Inflation Cap Credits" and a retroactive "</w:t>
            </w:r>
            <w:r w:rsidR="00B17BEB" w:rsidRPr="00EA326B">
              <w:t>claw back</w:t>
            </w:r>
            <w:r w:rsidRPr="00EA326B">
              <w:t>" of realized revenues.</w:t>
            </w:r>
          </w:p>
        </w:tc>
        <w:tc>
          <w:tcPr>
            <w:tcW w:w="1816" w:type="pct"/>
            <w:tcBorders>
              <w:top w:val="outset" w:sz="6" w:space="0" w:color="auto"/>
              <w:left w:val="outset" w:sz="6" w:space="0" w:color="auto"/>
              <w:bottom w:val="outset" w:sz="6" w:space="0" w:color="auto"/>
            </w:tcBorders>
            <w:vAlign w:val="center"/>
            <w:hideMark/>
          </w:tcPr>
          <w:p w14:paraId="4C283F44" w14:textId="14768A77" w:rsidR="00A84ADA" w:rsidRPr="00147A92" w:rsidRDefault="00A84ADA" w:rsidP="00AA2492">
            <w:pPr>
              <w:pStyle w:val="ListParagraph"/>
              <w:autoSpaceDE w:val="0"/>
              <w:autoSpaceDN w:val="0"/>
              <w:adjustRightInd w:val="0"/>
            </w:pPr>
            <w:r w:rsidRPr="00147A92">
              <w:t>Anticipated cumulative loss of $706,723 through FY31; creates a sharp revenue drop in FY27.</w:t>
            </w:r>
          </w:p>
        </w:tc>
      </w:tr>
      <w:tr w:rsidR="00A84ADA" w:rsidRPr="00EA326B" w14:paraId="2399FCD2" w14:textId="77777777" w:rsidTr="00AA2492">
        <w:tc>
          <w:tcPr>
            <w:tcW w:w="0" w:type="auto"/>
            <w:tcBorders>
              <w:top w:val="outset" w:sz="6" w:space="0" w:color="auto"/>
              <w:bottom w:val="outset" w:sz="6" w:space="0" w:color="auto"/>
              <w:right w:val="outset" w:sz="6" w:space="0" w:color="auto"/>
            </w:tcBorders>
            <w:vAlign w:val="center"/>
            <w:hideMark/>
          </w:tcPr>
          <w:p w14:paraId="5F32F506" w14:textId="77777777" w:rsidR="00A84ADA" w:rsidRPr="00EA326B" w:rsidRDefault="00A84ADA" w:rsidP="00AA2492">
            <w:pPr>
              <w:pStyle w:val="ListParagraph"/>
              <w:autoSpaceDE w:val="0"/>
              <w:autoSpaceDN w:val="0"/>
              <w:adjustRightInd w:val="0"/>
            </w:pPr>
            <w:r w:rsidRPr="00EA326B">
              <w:rPr>
                <w:b/>
                <w:bCs/>
              </w:rPr>
              <w:t>HB309</w:t>
            </w:r>
          </w:p>
        </w:tc>
        <w:tc>
          <w:tcPr>
            <w:tcW w:w="0" w:type="auto"/>
            <w:tcBorders>
              <w:top w:val="outset" w:sz="6" w:space="0" w:color="auto"/>
              <w:left w:val="outset" w:sz="6" w:space="0" w:color="auto"/>
              <w:bottom w:val="outset" w:sz="6" w:space="0" w:color="auto"/>
              <w:right w:val="outset" w:sz="6" w:space="0" w:color="auto"/>
            </w:tcBorders>
            <w:vAlign w:val="center"/>
            <w:hideMark/>
          </w:tcPr>
          <w:p w14:paraId="40EEC67D" w14:textId="77777777" w:rsidR="00A84ADA" w:rsidRPr="00EA326B" w:rsidRDefault="00A84ADA" w:rsidP="00AA2492">
            <w:pPr>
              <w:pStyle w:val="ListParagraph"/>
              <w:autoSpaceDE w:val="0"/>
              <w:autoSpaceDN w:val="0"/>
              <w:adjustRightInd w:val="0"/>
            </w:pPr>
            <w:r w:rsidRPr="00EA326B">
              <w:t>Empowers County Budget Commissions (CBCs) to reduce voter-approved levies.</w:t>
            </w:r>
          </w:p>
        </w:tc>
        <w:tc>
          <w:tcPr>
            <w:tcW w:w="1816" w:type="pct"/>
            <w:tcBorders>
              <w:top w:val="outset" w:sz="6" w:space="0" w:color="auto"/>
              <w:left w:val="outset" w:sz="6" w:space="0" w:color="auto"/>
              <w:bottom w:val="outset" w:sz="6" w:space="0" w:color="auto"/>
            </w:tcBorders>
            <w:vAlign w:val="center"/>
            <w:hideMark/>
          </w:tcPr>
          <w:p w14:paraId="2341850D" w14:textId="77777777" w:rsidR="00A84ADA" w:rsidRPr="00EA326B" w:rsidRDefault="00A84ADA" w:rsidP="00AA2492">
            <w:pPr>
              <w:pStyle w:val="ListParagraph"/>
              <w:autoSpaceDE w:val="0"/>
              <w:autoSpaceDN w:val="0"/>
              <w:adjustRightInd w:val="0"/>
            </w:pPr>
            <w:r w:rsidRPr="00EA326B">
              <w:t>Shifts fiscal authority to CBC officials, creating an unpredictable risk to local levy yields.</w:t>
            </w:r>
          </w:p>
        </w:tc>
      </w:tr>
      <w:tr w:rsidR="00A84ADA" w:rsidRPr="00EA326B" w14:paraId="5C7BBD02" w14:textId="77777777" w:rsidTr="00AA2492">
        <w:tc>
          <w:tcPr>
            <w:tcW w:w="0" w:type="auto"/>
            <w:tcBorders>
              <w:top w:val="outset" w:sz="6" w:space="0" w:color="auto"/>
              <w:bottom w:val="outset" w:sz="6" w:space="0" w:color="auto"/>
              <w:right w:val="outset" w:sz="6" w:space="0" w:color="auto"/>
            </w:tcBorders>
            <w:vAlign w:val="center"/>
            <w:hideMark/>
          </w:tcPr>
          <w:p w14:paraId="6584C77F" w14:textId="77777777" w:rsidR="00A84ADA" w:rsidRPr="00EA326B" w:rsidRDefault="00A84ADA" w:rsidP="00AA2492">
            <w:pPr>
              <w:pStyle w:val="ListParagraph"/>
              <w:autoSpaceDE w:val="0"/>
              <w:autoSpaceDN w:val="0"/>
              <w:adjustRightInd w:val="0"/>
            </w:pPr>
            <w:r w:rsidRPr="00EA326B">
              <w:rPr>
                <w:b/>
                <w:bCs/>
              </w:rPr>
              <w:t>HB335</w:t>
            </w:r>
          </w:p>
        </w:tc>
        <w:tc>
          <w:tcPr>
            <w:tcW w:w="0" w:type="auto"/>
            <w:tcBorders>
              <w:top w:val="outset" w:sz="6" w:space="0" w:color="auto"/>
              <w:left w:val="outset" w:sz="6" w:space="0" w:color="auto"/>
              <w:bottom w:val="outset" w:sz="6" w:space="0" w:color="auto"/>
              <w:right w:val="outset" w:sz="6" w:space="0" w:color="auto"/>
            </w:tcBorders>
            <w:vAlign w:val="center"/>
            <w:hideMark/>
          </w:tcPr>
          <w:p w14:paraId="31E650B8" w14:textId="77777777" w:rsidR="00A84ADA" w:rsidRPr="00EA326B" w:rsidRDefault="00A84ADA" w:rsidP="00AA2492">
            <w:pPr>
              <w:pStyle w:val="ListParagraph"/>
              <w:autoSpaceDE w:val="0"/>
              <w:autoSpaceDN w:val="0"/>
              <w:adjustRightInd w:val="0"/>
            </w:pPr>
            <w:r w:rsidRPr="00EA326B">
              <w:t>Limits revenue growth from inside millage to the GDP Deflation Factor (GDP DF).</w:t>
            </w:r>
          </w:p>
        </w:tc>
        <w:tc>
          <w:tcPr>
            <w:tcW w:w="1816" w:type="pct"/>
            <w:tcBorders>
              <w:top w:val="outset" w:sz="6" w:space="0" w:color="auto"/>
              <w:left w:val="outset" w:sz="6" w:space="0" w:color="auto"/>
              <w:bottom w:val="outset" w:sz="6" w:space="0" w:color="auto"/>
            </w:tcBorders>
            <w:vAlign w:val="center"/>
            <w:hideMark/>
          </w:tcPr>
          <w:p w14:paraId="6BB366CD" w14:textId="77777777" w:rsidR="00A84ADA" w:rsidRPr="00EA326B" w:rsidRDefault="00A84ADA" w:rsidP="00AA2492">
            <w:pPr>
              <w:pStyle w:val="ListParagraph"/>
              <w:autoSpaceDE w:val="0"/>
              <w:autoSpaceDN w:val="0"/>
              <w:adjustRightInd w:val="0"/>
            </w:pPr>
            <w:r w:rsidRPr="00EA326B">
              <w:t>Restricts the district's ability to realize revenue gains from property valuation reappraisals.</w:t>
            </w:r>
          </w:p>
        </w:tc>
      </w:tr>
    </w:tbl>
    <w:p w14:paraId="120EDD5B" w14:textId="77777777" w:rsidR="00A84ADA" w:rsidRDefault="00A84ADA" w:rsidP="00A84ADA">
      <w:pPr>
        <w:autoSpaceDE w:val="0"/>
        <w:autoSpaceDN w:val="0"/>
        <w:adjustRightInd w:val="0"/>
        <w:contextualSpacing/>
      </w:pPr>
    </w:p>
    <w:bookmarkEnd w:id="6"/>
    <w:p w14:paraId="5F4EA78D" w14:textId="20228175" w:rsidR="00A84ADA" w:rsidRPr="00EA326B" w:rsidRDefault="00A84ADA" w:rsidP="00A84ADA">
      <w:pPr>
        <w:autoSpaceDE w:val="0"/>
        <w:autoSpaceDN w:val="0"/>
        <w:adjustRightInd w:val="0"/>
        <w:contextualSpacing/>
        <w:rPr>
          <w:b/>
          <w:bCs/>
        </w:rPr>
      </w:pPr>
      <w:r w:rsidRPr="00EA326B">
        <w:rPr>
          <w:b/>
          <w:bCs/>
        </w:rPr>
        <w:t xml:space="preserve">Revenue </w:t>
      </w:r>
      <w:r>
        <w:rPr>
          <w:b/>
          <w:bCs/>
        </w:rPr>
        <w:t xml:space="preserve">Risk </w:t>
      </w:r>
      <w:r w:rsidRPr="00EA326B">
        <w:rPr>
          <w:b/>
          <w:bCs/>
        </w:rPr>
        <w:t>Loss Assessment</w:t>
      </w:r>
      <w:r>
        <w:rPr>
          <w:b/>
          <w:bCs/>
        </w:rPr>
        <w:t xml:space="preserve"> of HB129 and HB186 To Our</w:t>
      </w:r>
      <w:r w:rsidRPr="00EA326B">
        <w:rPr>
          <w:b/>
          <w:bCs/>
        </w:rPr>
        <w:t xml:space="preserve"> </w:t>
      </w:r>
      <w:r>
        <w:rPr>
          <w:b/>
          <w:bCs/>
        </w:rPr>
        <w:t>F</w:t>
      </w:r>
      <w:r w:rsidRPr="00EA326B">
        <w:rPr>
          <w:b/>
          <w:bCs/>
        </w:rPr>
        <w:t>orecast</w:t>
      </w:r>
    </w:p>
    <w:p w14:paraId="2525F5B4" w14:textId="185F6D52" w:rsidR="00891544" w:rsidRPr="005775CA" w:rsidRDefault="00891544" w:rsidP="00A84ADA">
      <w:pPr>
        <w:ind w:left="360" w:hanging="360"/>
        <w:rPr>
          <w:rFonts w:ascii="Times" w:hAnsi="Times"/>
        </w:rPr>
      </w:pPr>
    </w:p>
    <w:p w14:paraId="3C4FD38E" w14:textId="4826BDBA" w:rsidR="00891544" w:rsidRPr="005775CA" w:rsidRDefault="00891544" w:rsidP="00891544">
      <w:pPr>
        <w:pStyle w:val="ListParagraph"/>
        <w:numPr>
          <w:ilvl w:val="0"/>
          <w:numId w:val="34"/>
        </w:numPr>
      </w:pPr>
      <w:r w:rsidRPr="005775CA">
        <w:t xml:space="preserve">HB129 implements new requirements for and restores fixed sum levies. It will also include fixed sum levy millage in the 20-mill floor calculation beginning in the next reappraisal or triennial update cycle of any county that contains district territory, but no later than Tax Year 2028 collect in calendar 2029. </w:t>
      </w:r>
      <w:r w:rsidR="005775CA" w:rsidRPr="005775CA">
        <w:rPr>
          <w:rFonts w:ascii="Times" w:hAnsi="Times"/>
        </w:rPr>
        <w:t>For some districts this will result in a loss due to a change in the 20-mill floor. Our district is not going to be affected by this legislation.</w:t>
      </w:r>
    </w:p>
    <w:p w14:paraId="5D73CE45" w14:textId="77777777" w:rsidR="00891544" w:rsidRPr="005775CA" w:rsidRDefault="00891544" w:rsidP="00891544">
      <w:pPr>
        <w:ind w:left="720" w:hanging="360"/>
        <w:contextualSpacing/>
      </w:pPr>
    </w:p>
    <w:p w14:paraId="747CA6ED" w14:textId="16C1301A" w:rsidR="00891544" w:rsidRPr="00147A92" w:rsidRDefault="00891544" w:rsidP="00E409F8">
      <w:pPr>
        <w:pStyle w:val="ListParagraph"/>
        <w:numPr>
          <w:ilvl w:val="0"/>
          <w:numId w:val="33"/>
        </w:numPr>
        <w:ind w:left="720"/>
      </w:pPr>
      <w:r w:rsidRPr="005775CA">
        <w:t xml:space="preserve">HB186 establishes Inflation Cap Credits, if applicable, following reappraisals and triennial updates for school district property taxes, preventing increases beyond the Gross Domestic Product Deflation Factor (GDP DF). </w:t>
      </w:r>
      <w:r w:rsidR="005775CA" w:rsidRPr="005775CA">
        <w:t xml:space="preserve">HB186 also includes Temporary Tax Credits (claw back) provision that takes back tax revenue that has already been collected by school districts beginning with reappraisals and triennial updates that occurred before the effective date of the law retroactive back to tax year 2023, 2024 and 2025. </w:t>
      </w:r>
      <w:r w:rsidR="005775CA" w:rsidRPr="00DA140B">
        <w:rPr>
          <w:rFonts w:ascii="Times" w:hAnsi="Times"/>
        </w:rPr>
        <w:t xml:space="preserve">These </w:t>
      </w:r>
      <w:r w:rsidR="005775CA" w:rsidRPr="00147A92">
        <w:rPr>
          <w:rFonts w:ascii="Times" w:hAnsi="Times"/>
        </w:rPr>
        <w:t xml:space="preserve">are funds that have already been realized and have been spent and/or included in future educational planning. While skyrocketing home values resulted in the need for property tax reform that limits tax growth for taxpayers, the retroactive claw back of taxes already paid is very detrimental to districts at the 20-mill floor. </w:t>
      </w:r>
      <w:r w:rsidR="00DA140B" w:rsidRPr="00147A92">
        <w:t>Our district was on the 20-mill floor under prior law and is anticipated to lose $128,495 a year in inflationary cap credits. The loss in FY27 is expected to be $192,743 due to delayed implementation of the new law which results in one and a half years loss in the fiscal year.  Anticipated losses due to inflationary cap credits through FY31 is estimated at $706,723</w:t>
      </w:r>
    </w:p>
    <w:p w14:paraId="34BAF959" w14:textId="77777777" w:rsidR="00DA140B" w:rsidRPr="00147A92" w:rsidRDefault="00DA140B" w:rsidP="00DA140B">
      <w:pPr>
        <w:pStyle w:val="ListParagraph"/>
      </w:pPr>
    </w:p>
    <w:p w14:paraId="0C18D8AC" w14:textId="77777777" w:rsidR="00DA140B" w:rsidRPr="00147A92" w:rsidRDefault="00DA140B" w:rsidP="00DA140B">
      <w:pPr>
        <w:rPr>
          <w:b/>
          <w:bCs/>
        </w:rPr>
      </w:pPr>
      <w:bookmarkStart w:id="7" w:name="_Hlk235981641"/>
      <w:bookmarkEnd w:id="5"/>
      <w:r w:rsidRPr="00147A92">
        <w:rPr>
          <w:b/>
          <w:bCs/>
        </w:rPr>
        <w:t>Evaluation of Emerging Risks: HB309, HB335, and Piggyback Exemptions</w:t>
      </w:r>
    </w:p>
    <w:p w14:paraId="303D0658" w14:textId="77777777" w:rsidR="00DA140B" w:rsidRPr="00147A92" w:rsidRDefault="00DA140B" w:rsidP="00DA140B"/>
    <w:p w14:paraId="302918DD" w14:textId="1B540B43" w:rsidR="00DA140B" w:rsidRPr="00147A92" w:rsidRDefault="00DA140B" w:rsidP="00DA140B">
      <w:pPr>
        <w:pStyle w:val="ListParagraph"/>
        <w:numPr>
          <w:ilvl w:val="0"/>
          <w:numId w:val="36"/>
        </w:numPr>
        <w:contextualSpacing w:val="0"/>
      </w:pPr>
      <w:r w:rsidRPr="00147A92">
        <w:t>HB309 indicates an erosion of local fiscal autonomy, shifting power from elected school boards to County Budget Commissions (CBC’s) and County Commissioners. HB309 allows a CBC to reduce any voter-approved levy (except debt) to bring taxes levied within levels the CBC finds reasonable and prudent to avoid unnecessary collections. This law gives locally elected CBC officials the power to override voter-approved levies and local school board fiscal decisions.  The impact of this new law is indeterminable and can be administered inconsistently in</w:t>
      </w:r>
      <w:r w:rsidR="00B17BEB">
        <w:t xml:space="preserve"> Ohio’s </w:t>
      </w:r>
      <w:r w:rsidRPr="00147A92">
        <w:t xml:space="preserve"> 88</w:t>
      </w:r>
      <w:r w:rsidR="00B17BEB">
        <w:t xml:space="preserve"> counties</w:t>
      </w:r>
      <w:r w:rsidRPr="00147A92">
        <w:t>.</w:t>
      </w:r>
    </w:p>
    <w:p w14:paraId="33ABA749" w14:textId="77777777" w:rsidR="00DA140B" w:rsidRPr="009B2B81" w:rsidRDefault="00DA140B" w:rsidP="00DA140B"/>
    <w:p w14:paraId="5B3D5C8E" w14:textId="77777777" w:rsidR="00DA140B" w:rsidRPr="00147A92" w:rsidRDefault="00DA140B" w:rsidP="00DA140B">
      <w:pPr>
        <w:pStyle w:val="ListParagraph"/>
        <w:numPr>
          <w:ilvl w:val="0"/>
          <w:numId w:val="36"/>
        </w:numPr>
        <w:autoSpaceDE w:val="0"/>
        <w:autoSpaceDN w:val="0"/>
        <w:adjustRightInd w:val="0"/>
      </w:pPr>
      <w:r w:rsidRPr="00147A92">
        <w:lastRenderedPageBreak/>
        <w:t xml:space="preserve">HB335 limits revenue growth from "inside millage" to the GDP Deflation Factor at property reevaluation cycles. To mitigate this, the district has adopted a defensive strategy of projecting at or below the anticipated GDP DF. This is a critical tactical move to prevent the state from applying further downward inflationary adjustments to the district’s remaining growth potential. HB479 that becomes law September 23, 2026, corrected inside millage language in HB335 so than any inside mileage adjustment occurs only in the home county during revaluations if districts are in multiple counties. Any future inside millage adjustment is indeterminable at this time. </w:t>
      </w:r>
    </w:p>
    <w:bookmarkEnd w:id="7"/>
    <w:p w14:paraId="5C14A6E6" w14:textId="77777777" w:rsidR="00DA140B" w:rsidRPr="00147A92" w:rsidRDefault="00DA140B" w:rsidP="00DA140B">
      <w:pPr>
        <w:pStyle w:val="ListParagraph"/>
      </w:pPr>
    </w:p>
    <w:p w14:paraId="1F53B44D" w14:textId="29A7A3FF" w:rsidR="00DA140B" w:rsidRPr="00147A92" w:rsidRDefault="00DA140B" w:rsidP="00DA140B">
      <w:pPr>
        <w:pStyle w:val="ListParagraph"/>
        <w:numPr>
          <w:ilvl w:val="0"/>
          <w:numId w:val="36"/>
        </w:numPr>
        <w:autoSpaceDE w:val="0"/>
        <w:autoSpaceDN w:val="0"/>
        <w:adjustRightInd w:val="0"/>
      </w:pPr>
      <w:bookmarkStart w:id="8" w:name="_Hlk235981675"/>
      <w:r w:rsidRPr="00147A92">
        <w:t xml:space="preserve">HB96 Expanded Piggyback Option introduces a significant </w:t>
      </w:r>
      <w:r w:rsidRPr="00147A92">
        <w:rPr>
          <w:i/>
          <w:iCs/>
        </w:rPr>
        <w:t>local political</w:t>
      </w:r>
      <w:r w:rsidRPr="00147A92">
        <w:t xml:space="preserve"> risk through "Piggyback" exemptions. Unlike standard Homestead and 2.5% owner-occupied credits—which the state reimburses—Piggyback exemptions are </w:t>
      </w:r>
      <w:r w:rsidRPr="00147A92">
        <w:rPr>
          <w:b/>
          <w:bCs/>
        </w:rPr>
        <w:t>not reimbursed</w:t>
      </w:r>
      <w:r w:rsidRPr="00147A92">
        <w:t xml:space="preserve">. Richland </w:t>
      </w:r>
      <w:r w:rsidRPr="00147A92">
        <w:rPr>
          <w:rFonts w:ascii="Times" w:hAnsi="Times" w:cs="Times"/>
        </w:rPr>
        <w:t xml:space="preserve">County Commissioners approved the Piggyback exemption for owner occupied credit for tax year 2025 </w:t>
      </w:r>
      <w:r w:rsidR="00B17BEB">
        <w:rPr>
          <w:rFonts w:ascii="Times" w:hAnsi="Times" w:cs="Times"/>
        </w:rPr>
        <w:t>and tax</w:t>
      </w:r>
      <w:r w:rsidRPr="00147A92">
        <w:rPr>
          <w:rFonts w:ascii="Times" w:hAnsi="Times" w:cs="Times"/>
        </w:rPr>
        <w:t xml:space="preserve"> 2026.  This will result in estimated tax reductions of approximately $3,000 for tax year 202</w:t>
      </w:r>
      <w:r w:rsidR="00B17BEB">
        <w:rPr>
          <w:rFonts w:ascii="Times" w:hAnsi="Times" w:cs="Times"/>
        </w:rPr>
        <w:t>5 and 2026</w:t>
      </w:r>
      <w:r w:rsidRPr="00147A92">
        <w:rPr>
          <w:rFonts w:ascii="Times" w:hAnsi="Times" w:cs="Times"/>
        </w:rPr>
        <w:t xml:space="preserve"> that will impact </w:t>
      </w:r>
      <w:r w:rsidR="00B17BEB">
        <w:rPr>
          <w:rFonts w:ascii="Times" w:hAnsi="Times" w:cs="Times"/>
        </w:rPr>
        <w:t>collections</w:t>
      </w:r>
      <w:r w:rsidRPr="00147A92">
        <w:rPr>
          <w:rFonts w:ascii="Times" w:hAnsi="Times" w:cs="Times"/>
        </w:rPr>
        <w:t xml:space="preserve"> noted in Line 1.01 Property Tax Estimates below. If both owner occupied, and homestead were approved every year</w:t>
      </w:r>
      <w:r w:rsidR="007A0D04" w:rsidRPr="00147A92">
        <w:rPr>
          <w:rFonts w:ascii="Times" w:hAnsi="Times" w:cs="Times"/>
        </w:rPr>
        <w:t xml:space="preserve"> in all three counties</w:t>
      </w:r>
      <w:r w:rsidRPr="00147A92">
        <w:rPr>
          <w:rFonts w:ascii="Times" w:hAnsi="Times" w:cs="Times"/>
        </w:rPr>
        <w:t xml:space="preserve"> this could result in reduced property tax collections for the school district of roughly $</w:t>
      </w:r>
      <w:r w:rsidR="007A0D04" w:rsidRPr="00147A92">
        <w:rPr>
          <w:rFonts w:ascii="Times" w:hAnsi="Times" w:cs="Times"/>
        </w:rPr>
        <w:t>250,000</w:t>
      </w:r>
      <w:r w:rsidRPr="00147A92">
        <w:rPr>
          <w:rFonts w:ascii="Times" w:hAnsi="Times" w:cs="Times"/>
        </w:rPr>
        <w:t xml:space="preserve"> each year from current operating levies. This new law creates an unpredictable potential risk to our local tax collections every year.  We will adjust the forecast in the future accordingly.</w:t>
      </w:r>
    </w:p>
    <w:bookmarkEnd w:id="8"/>
    <w:p w14:paraId="4CE530B6" w14:textId="0E092799" w:rsidR="00891544" w:rsidRDefault="00891544" w:rsidP="005465E2">
      <w:pPr>
        <w:contextualSpacing/>
        <w:rPr>
          <w:rFonts w:ascii="Times" w:hAnsi="Times" w:cs="Times"/>
        </w:rPr>
      </w:pPr>
    </w:p>
    <w:p w14:paraId="2EFBA658" w14:textId="53439963" w:rsidR="00891544" w:rsidRPr="00091105" w:rsidRDefault="00891544" w:rsidP="00375E9E">
      <w:pPr>
        <w:pStyle w:val="ListParagraph"/>
        <w:numPr>
          <w:ilvl w:val="0"/>
          <w:numId w:val="4"/>
        </w:numPr>
        <w:rPr>
          <w:rFonts w:ascii="Times" w:hAnsi="Times" w:cs="Times"/>
        </w:rPr>
      </w:pPr>
      <w:bookmarkStart w:id="9" w:name="_Hlk220146784"/>
      <w:r w:rsidRPr="00091105">
        <w:rPr>
          <w:rFonts w:ascii="Times" w:hAnsi="Times" w:cs="Times"/>
        </w:rPr>
        <w:t xml:space="preserve">Property tax collections are the second largest single revenue source for the school system and a significant risk to the forecast. </w:t>
      </w:r>
      <w:r w:rsidR="00091105" w:rsidRPr="00091105">
        <w:rPr>
          <w:rFonts w:ascii="Times" w:hAnsi="Times" w:cs="Times"/>
        </w:rPr>
        <w:t xml:space="preserve">We have project growth in appraised values every three (3) years that aligns with the new HB186 Gross Domestic Product Deflation Factor (GDP DF) and new construction growth. </w:t>
      </w:r>
      <w:r w:rsidR="00091105" w:rsidRPr="00091105">
        <w:rPr>
          <w:rFonts w:ascii="Times" w:hAnsi="Times"/>
        </w:rPr>
        <w:t xml:space="preserve">The effects of HB186 will be to limit property tax growth following reappraisals and updates.  Total local revenues, predominately local taxes, equating to 30.2% of the district’s </w:t>
      </w:r>
      <w:r w:rsidR="00091105" w:rsidRPr="00B17BEB">
        <w:rPr>
          <w:rFonts w:ascii="Times" w:hAnsi="Times"/>
        </w:rPr>
        <w:t>resources</w:t>
      </w:r>
      <w:r w:rsidR="00091105" w:rsidRPr="00B17BEB">
        <w:rPr>
          <w:rFonts w:ascii="Times" w:hAnsi="Times" w:cs="Times"/>
        </w:rPr>
        <w:t>.</w:t>
      </w:r>
      <w:r w:rsidR="00375E9E" w:rsidRPr="00B17BEB">
        <w:rPr>
          <w:rFonts w:ascii="Times" w:hAnsi="Times" w:cs="Times"/>
        </w:rPr>
        <w:t xml:space="preserve">  As</w:t>
      </w:r>
      <w:r w:rsidR="00375E9E" w:rsidRPr="00375E9E">
        <w:rPr>
          <w:rFonts w:ascii="Times" w:hAnsi="Times" w:cs="Times"/>
        </w:rPr>
        <w:t xml:space="preserve"> noted above, HB186 indicates any adjustment for prior year appraisals and updates that exceeded GDP DF in reappraisals and triennial updates that occurred in tax years 2023, 2024 and 2025 will result in possible significant reductions (</w:t>
      </w:r>
      <w:r w:rsidR="00B17BEB" w:rsidRPr="00375E9E">
        <w:rPr>
          <w:rFonts w:ascii="Times" w:hAnsi="Times" w:cs="Times"/>
        </w:rPr>
        <w:t>claw back</w:t>
      </w:r>
      <w:r w:rsidR="00375E9E" w:rsidRPr="00375E9E">
        <w:rPr>
          <w:rFonts w:ascii="Times" w:hAnsi="Times" w:cs="Times"/>
        </w:rPr>
        <w:t>) in the second half property tax collections that typically occur in August to September 2026.  We have included any estimated adjustment for HB186 and HB335 in Line 1.01 assumptions below.</w:t>
      </w:r>
    </w:p>
    <w:bookmarkEnd w:id="9"/>
    <w:p w14:paraId="5DFC3149" w14:textId="29F18127" w:rsidR="00891544" w:rsidRDefault="00891544" w:rsidP="005465E2">
      <w:pPr>
        <w:contextualSpacing/>
        <w:rPr>
          <w:rFonts w:ascii="Times" w:hAnsi="Times" w:cs="Times"/>
        </w:rPr>
      </w:pPr>
    </w:p>
    <w:p w14:paraId="30F48126" w14:textId="031C364D" w:rsidR="00891544" w:rsidRDefault="007C176E" w:rsidP="00617EFE">
      <w:pPr>
        <w:pStyle w:val="ListParagraph"/>
        <w:numPr>
          <w:ilvl w:val="0"/>
          <w:numId w:val="4"/>
        </w:numPr>
        <w:rPr>
          <w:rFonts w:ascii="Times" w:hAnsi="Times" w:cs="Times"/>
        </w:rPr>
      </w:pPr>
      <w:bookmarkStart w:id="10" w:name="_Hlk220146939"/>
      <w:r w:rsidRPr="00227DE4">
        <w:t>Being in three different counties can pose many challenges in determining the increases or decreases in values. Morrow and Richland Counties experienced full reappraisals for all property values in the 2023 tax year to be collected in FY24. The 2023 reappraisal increased assessed values by $4.63 million, or 2.89%. Overall values rose $4.71 million or 2.44%, including reappraisal and new construction for all property classes. Additionally, Crawford County experienced a full reappraisal for all property values in the 2024 tax year to be collected in FY25. The 2024 reappraisal increased values by $71.5 million, or 43.31%. Overall values rose $76 million or 38.48%, including reappraisal and new construction for all property classes. Reappraisal updates will occur in Morrow and Richland Counties in the tax year 2026 for collection in FY27</w:t>
      </w:r>
      <w:r w:rsidRPr="00091105">
        <w:t xml:space="preserve">. Crawford County will experience a reappraisal update in the tax year 2027 for collection for FY28. </w:t>
      </w:r>
      <w:r w:rsidR="00891544" w:rsidRPr="00B17BEB">
        <w:rPr>
          <w:rFonts w:ascii="Times" w:hAnsi="Times" w:cs="Times"/>
        </w:rPr>
        <w:t>We anticipate value increases for Class I (Residential/Agriculture) and Class II (Commercial/Industrial) property within the Gross Domestic Product Deflation Factor range of 7% to 9%. HB335 inside millage cap will become effective for any reappraisal and update beginning in tax year 2026, and HB1</w:t>
      </w:r>
      <w:r w:rsidR="00091105" w:rsidRPr="00B17BEB">
        <w:rPr>
          <w:rFonts w:ascii="Times" w:hAnsi="Times" w:cs="Times"/>
        </w:rPr>
        <w:t>86</w:t>
      </w:r>
      <w:r w:rsidR="00891544" w:rsidRPr="00B17BEB">
        <w:rPr>
          <w:rFonts w:ascii="Times" w:hAnsi="Times" w:cs="Times"/>
        </w:rPr>
        <w:t xml:space="preserve"> will </w:t>
      </w:r>
      <w:r w:rsidR="00B17BEB" w:rsidRPr="00B17BEB">
        <w:rPr>
          <w:rFonts w:ascii="Times" w:hAnsi="Times" w:cs="Times"/>
        </w:rPr>
        <w:t>limit</w:t>
      </w:r>
      <w:r w:rsidR="00891544" w:rsidRPr="00B17BEB">
        <w:rPr>
          <w:rFonts w:ascii="Times" w:hAnsi="Times" w:cs="Times"/>
        </w:rPr>
        <w:t xml:space="preserve"> </w:t>
      </w:r>
      <w:r w:rsidR="00091105" w:rsidRPr="00B17BEB">
        <w:rPr>
          <w:rFonts w:ascii="Times" w:hAnsi="Times" w:cs="Times"/>
        </w:rPr>
        <w:t>property tax growth</w:t>
      </w:r>
      <w:r w:rsidR="00891544" w:rsidRPr="00B17BEB">
        <w:rPr>
          <w:rFonts w:ascii="Times" w:hAnsi="Times" w:cs="Times"/>
        </w:rPr>
        <w:t xml:space="preserve"> in the next reappraisal</w:t>
      </w:r>
      <w:r w:rsidR="00091105" w:rsidRPr="00B17BEB">
        <w:rPr>
          <w:rFonts w:ascii="Times" w:hAnsi="Times" w:cs="Times"/>
        </w:rPr>
        <w:t xml:space="preserve"> </w:t>
      </w:r>
      <w:r w:rsidR="00891544" w:rsidRPr="00B17BEB">
        <w:rPr>
          <w:rFonts w:ascii="Times" w:hAnsi="Times" w:cs="Times"/>
        </w:rPr>
        <w:t>update in tax year 202</w:t>
      </w:r>
      <w:r w:rsidR="00091105" w:rsidRPr="00B17BEB">
        <w:rPr>
          <w:rFonts w:ascii="Times" w:hAnsi="Times" w:cs="Times"/>
        </w:rPr>
        <w:t>6</w:t>
      </w:r>
      <w:r w:rsidR="00891544" w:rsidRPr="00B17BEB">
        <w:rPr>
          <w:rFonts w:ascii="Times" w:hAnsi="Times" w:cs="Times"/>
        </w:rPr>
        <w:t xml:space="preserve">. </w:t>
      </w:r>
      <w:r w:rsidR="00091105" w:rsidRPr="00B17BEB">
        <w:rPr>
          <w:rFonts w:ascii="Times" w:hAnsi="Times" w:cs="Times"/>
        </w:rPr>
        <w:t xml:space="preserve">HB186 and HB335 will </w:t>
      </w:r>
      <w:r w:rsidR="00B17BEB" w:rsidRPr="00B17BEB">
        <w:rPr>
          <w:rFonts w:ascii="Times" w:hAnsi="Times" w:cs="Times"/>
        </w:rPr>
        <w:t>limit future</w:t>
      </w:r>
      <w:r w:rsidR="00091105" w:rsidRPr="00B17BEB">
        <w:rPr>
          <w:rFonts w:ascii="Times" w:hAnsi="Times" w:cs="Times"/>
        </w:rPr>
        <w:t xml:space="preserve"> projected taxes </w:t>
      </w:r>
      <w:bookmarkEnd w:id="10"/>
      <w:r w:rsidR="00B17BEB">
        <w:rPr>
          <w:rFonts w:ascii="Times" w:hAnsi="Times" w:cs="Times"/>
        </w:rPr>
        <w:t>.</w:t>
      </w:r>
    </w:p>
    <w:p w14:paraId="18EAD461" w14:textId="4EFFF058" w:rsidR="00B17BEB" w:rsidRPr="00B17BEB" w:rsidRDefault="00B17BEB" w:rsidP="00B17BEB">
      <w:pPr>
        <w:pStyle w:val="ListParagraph"/>
        <w:rPr>
          <w:rFonts w:ascii="Times" w:hAnsi="Times" w:cs="Times"/>
        </w:rPr>
      </w:pPr>
    </w:p>
    <w:p w14:paraId="3EC26482" w14:textId="50C46292" w:rsidR="007C176E" w:rsidRPr="00091105" w:rsidRDefault="007C176E" w:rsidP="00375E9E">
      <w:pPr>
        <w:pStyle w:val="ListParagraph"/>
        <w:numPr>
          <w:ilvl w:val="0"/>
          <w:numId w:val="4"/>
        </w:numPr>
        <w:rPr>
          <w:rFonts w:ascii="Times" w:hAnsi="Times" w:cs="Times"/>
        </w:rPr>
      </w:pPr>
      <w:bookmarkStart w:id="11" w:name="_Hlk220147476"/>
      <w:r w:rsidRPr="00091105">
        <w:rPr>
          <w:rFonts w:ascii="Times" w:hAnsi="Times"/>
        </w:rPr>
        <w:t xml:space="preserve">The state budget represented 69.8% of district revenues, which means it is a significant risk to the revenue. </w:t>
      </w:r>
      <w:r w:rsidRPr="00091105">
        <w:rPr>
          <w:rFonts w:ascii="Times" w:hAnsi="Times" w:cs="Times"/>
        </w:rPr>
        <w:t xml:space="preserve">The future risk comes in FY28 and beyond if the state economy stalls due to a possible recession and the Fair School Funding Plan is not continued and/or funded in the next state biennium budget. In this forecast, there are two unknown future State Biennium Budgets covering FY28-29 and </w:t>
      </w:r>
      <w:r w:rsidRPr="00091105">
        <w:rPr>
          <w:rFonts w:ascii="Times" w:hAnsi="Times" w:cs="Times"/>
        </w:rPr>
        <w:lastRenderedPageBreak/>
        <w:t>FY30-31. Future uncertainty in the state foundation funding formula and the state’s economy makes this area an elevated risk to district funding long-range through FY3</w:t>
      </w:r>
      <w:r w:rsidR="00F050E5">
        <w:rPr>
          <w:rFonts w:ascii="Times" w:hAnsi="Times" w:cs="Times"/>
        </w:rPr>
        <w:t>1</w:t>
      </w:r>
      <w:r w:rsidRPr="00091105">
        <w:rPr>
          <w:rFonts w:ascii="Times" w:hAnsi="Times" w:cs="Times"/>
        </w:rPr>
        <w:t>. We have projected our state funding in FY26 based on recent formula calculations and use of the Ohio Department of Education and Workforce (ODEW) funding simulator for FY27 projections. This forecast reflects state revenue to align with the FY27 funding levels through FY3</w:t>
      </w:r>
      <w:r w:rsidR="00F050E5">
        <w:rPr>
          <w:rFonts w:ascii="Times" w:hAnsi="Times" w:cs="Times"/>
        </w:rPr>
        <w:t>1</w:t>
      </w:r>
      <w:r w:rsidRPr="00091105">
        <w:rPr>
          <w:rFonts w:ascii="Times" w:hAnsi="Times" w:cs="Times"/>
        </w:rPr>
        <w:t>, which we feel is conservative and should be close to what the state approves for the next two biennium budgets. We will adjust the forecast in future years as we have data to make an informed decision.</w:t>
      </w:r>
    </w:p>
    <w:bookmarkEnd w:id="11"/>
    <w:p w14:paraId="6D0FBAA1" w14:textId="0E1E9FB2" w:rsidR="007C176E" w:rsidRDefault="007C176E" w:rsidP="005465E2">
      <w:pPr>
        <w:contextualSpacing/>
        <w:rPr>
          <w:rFonts w:ascii="Times" w:hAnsi="Times" w:cs="Times"/>
        </w:rPr>
      </w:pPr>
    </w:p>
    <w:p w14:paraId="21C35CA0" w14:textId="3B715305" w:rsidR="007C176E" w:rsidRPr="00F050E5" w:rsidRDefault="007C176E" w:rsidP="00F050E5">
      <w:pPr>
        <w:pStyle w:val="ListParagraph"/>
        <w:numPr>
          <w:ilvl w:val="0"/>
          <w:numId w:val="4"/>
        </w:numPr>
        <w:rPr>
          <w:rFonts w:ascii="Times" w:hAnsi="Times" w:cs="Times"/>
        </w:rPr>
      </w:pPr>
      <w:bookmarkStart w:id="12" w:name="_Hlk220147556"/>
      <w:r w:rsidRPr="006B65B9">
        <w:rPr>
          <w:rFonts w:ascii="Times" w:hAnsi="Times" w:cs="Times"/>
        </w:rPr>
        <w:t xml:space="preserve">HB96, the current state budget, continues to phase in what has been referred to as the Fair School Funding Plan (FSFP) for </w:t>
      </w:r>
      <w:bookmarkStart w:id="13" w:name="_Hlk235985383"/>
      <w:r w:rsidR="00F050E5" w:rsidRPr="00F050E5">
        <w:rPr>
          <w:rFonts w:ascii="Times" w:hAnsi="Times" w:cs="Times"/>
        </w:rPr>
        <w:t>FY27. FY27 reflects 100% of the implementation cost of the (FSFP). HB96 did not increase the base cost inputs (no increase from the state on formula funding) while allowing local capacity inputs to increase.  This causes more districts to appear to have greater local ability to fund their schools thus reducing the amount of State Aid they receive. We have used the most recent FY27 foundation payment published by the Department of Education and Workforce for our forecasted revenues in FY27-FY31.  We are considered a</w:t>
      </w:r>
      <w:r w:rsidR="00BA0E27">
        <w:rPr>
          <w:rFonts w:ascii="Times" w:hAnsi="Times" w:cs="Times"/>
        </w:rPr>
        <w:t xml:space="preserve"> formula</w:t>
      </w:r>
      <w:r w:rsidR="00F050E5" w:rsidRPr="00F050E5">
        <w:rPr>
          <w:rFonts w:ascii="Times" w:hAnsi="Times" w:cs="Times"/>
        </w:rPr>
        <w:t xml:space="preserve"> district and do not anticipate increases in state aid</w:t>
      </w:r>
      <w:r w:rsidR="00BA0E27">
        <w:rPr>
          <w:rFonts w:ascii="Times" w:hAnsi="Times" w:cs="Times"/>
        </w:rPr>
        <w:t xml:space="preserve"> due to declining enrollment</w:t>
      </w:r>
      <w:r w:rsidR="00F050E5" w:rsidRPr="00F050E5">
        <w:rPr>
          <w:rFonts w:ascii="Times" w:hAnsi="Times" w:cs="Times"/>
        </w:rPr>
        <w:t>.</w:t>
      </w:r>
      <w:bookmarkEnd w:id="13"/>
    </w:p>
    <w:bookmarkEnd w:id="12"/>
    <w:p w14:paraId="44BE6500" w14:textId="77777777" w:rsidR="007C176E" w:rsidRPr="00227DE4" w:rsidRDefault="007C176E" w:rsidP="005465E2">
      <w:pPr>
        <w:contextualSpacing/>
        <w:rPr>
          <w:rFonts w:ascii="Times" w:hAnsi="Times" w:cs="Times"/>
        </w:rPr>
      </w:pPr>
    </w:p>
    <w:p w14:paraId="7B421252" w14:textId="2446DC01" w:rsidR="008222A2" w:rsidRPr="00414BD3" w:rsidRDefault="007C176E" w:rsidP="00375E9E">
      <w:pPr>
        <w:pStyle w:val="ListParagraph"/>
        <w:numPr>
          <w:ilvl w:val="0"/>
          <w:numId w:val="4"/>
        </w:numPr>
        <w:jc w:val="both"/>
        <w:rPr>
          <w:rFonts w:ascii="Times" w:hAnsi="Times" w:cs="Times"/>
        </w:rPr>
      </w:pPr>
      <w:bookmarkStart w:id="14" w:name="_Hlk220147798"/>
      <w:r w:rsidRPr="00414BD3">
        <w:rPr>
          <w:rFonts w:ascii="Times" w:hAnsi="Times"/>
        </w:rPr>
        <w:t xml:space="preserve">The Ohio Department of Taxation on January 15, 2026 announced an updated state property tax reappraisal and triennial update schedule. Sixteen counties will have their reappraisal moved back by one year in accordance with the new schedule. </w:t>
      </w:r>
      <w:bookmarkEnd w:id="14"/>
      <w:r w:rsidR="00414BD3" w:rsidRPr="00414BD3">
        <w:rPr>
          <w:rFonts w:ascii="Times" w:hAnsi="Times"/>
        </w:rPr>
        <w:t>Morrow County will be impacted by this change.  This will move the Tax Year 2029 reappraisal to Tax Year 2030 for collection in Calendar year 2031.  This move is estimated to cost our district $35,000 in taxes on inside millage growth that was anticipated for calendar year 2030.</w:t>
      </w:r>
    </w:p>
    <w:p w14:paraId="7ACC28FD" w14:textId="77777777" w:rsidR="00414BD3" w:rsidRPr="00414BD3" w:rsidRDefault="00414BD3" w:rsidP="00414BD3">
      <w:pPr>
        <w:jc w:val="both"/>
        <w:rPr>
          <w:rFonts w:ascii="Times" w:hAnsi="Times" w:cs="Times"/>
        </w:rPr>
      </w:pPr>
    </w:p>
    <w:p w14:paraId="30C5BF3D" w14:textId="2A2F6971" w:rsidR="00FE6C73" w:rsidRDefault="0033016F" w:rsidP="00FE6C73">
      <w:pPr>
        <w:rPr>
          <w:rFonts w:ascii="Times" w:hAnsi="Times" w:cs="Times"/>
        </w:rPr>
      </w:pPr>
      <w:r w:rsidRPr="00742633">
        <w:rPr>
          <w:rFonts w:ascii="Times" w:hAnsi="Times" w:cs="Times"/>
        </w:rPr>
        <w:t xml:space="preserve">The significant lines of reference for the forecast are noted below in the headings to make it easier to relate the assumptions made for the forecast item and refer back to the forecast. It should assist the reader in reviewing the assumptions noted below to understand the overall financial forecast for our district. If you want further information, please contact </w:t>
      </w:r>
      <w:r w:rsidR="00691FA9">
        <w:rPr>
          <w:rFonts w:ascii="Times" w:hAnsi="Times" w:cs="Times"/>
        </w:rPr>
        <w:t>Shannon King</w:t>
      </w:r>
      <w:r w:rsidR="00FE6C73" w:rsidRPr="00742633">
        <w:rPr>
          <w:rFonts w:ascii="Times" w:hAnsi="Times" w:cs="Times"/>
        </w:rPr>
        <w:t>, Treasurer/CFO, at 419.468.3432 x</w:t>
      </w:r>
      <w:r w:rsidR="002E25BB">
        <w:rPr>
          <w:rFonts w:ascii="Times" w:hAnsi="Times" w:cs="Times"/>
        </w:rPr>
        <w:t>7</w:t>
      </w:r>
      <w:r w:rsidR="00FE6C73" w:rsidRPr="00742633">
        <w:rPr>
          <w:rFonts w:ascii="Times" w:hAnsi="Times" w:cs="Times"/>
        </w:rPr>
        <w:t>11003.</w:t>
      </w:r>
    </w:p>
    <w:p w14:paraId="2EF0FF66" w14:textId="77777777" w:rsidR="00D4625A" w:rsidRDefault="00D4625A" w:rsidP="00FE6C73">
      <w:pPr>
        <w:rPr>
          <w:rFonts w:ascii="Times" w:hAnsi="Times" w:cs="Times"/>
        </w:rPr>
      </w:pPr>
    </w:p>
    <w:p w14:paraId="5A6B5F45" w14:textId="77777777" w:rsidR="00B17BEB" w:rsidRDefault="00B17BEB" w:rsidP="00FE6C73">
      <w:pPr>
        <w:rPr>
          <w:rFonts w:ascii="Times" w:hAnsi="Times" w:cs="Times"/>
        </w:rPr>
      </w:pPr>
    </w:p>
    <w:p w14:paraId="08C2163B" w14:textId="77777777" w:rsidR="00B17BEB" w:rsidRDefault="00B17BEB" w:rsidP="00FE6C73">
      <w:pPr>
        <w:rPr>
          <w:rFonts w:ascii="Times" w:hAnsi="Times" w:cs="Times"/>
        </w:rPr>
      </w:pPr>
    </w:p>
    <w:p w14:paraId="3B7049AD" w14:textId="77777777" w:rsidR="00B17BEB" w:rsidRDefault="00B17BEB" w:rsidP="00FE6C73">
      <w:pPr>
        <w:rPr>
          <w:rFonts w:ascii="Times" w:hAnsi="Times" w:cs="Times"/>
        </w:rPr>
      </w:pPr>
    </w:p>
    <w:p w14:paraId="40E079EC" w14:textId="77777777" w:rsidR="00B17BEB" w:rsidRDefault="00B17BEB" w:rsidP="00FE6C73">
      <w:pPr>
        <w:rPr>
          <w:rFonts w:ascii="Times" w:hAnsi="Times" w:cs="Times"/>
        </w:rPr>
      </w:pPr>
    </w:p>
    <w:p w14:paraId="12CCA771" w14:textId="77777777" w:rsidR="00B17BEB" w:rsidRDefault="00B17BEB" w:rsidP="00FE6C73">
      <w:pPr>
        <w:rPr>
          <w:rFonts w:ascii="Times" w:hAnsi="Times" w:cs="Times"/>
        </w:rPr>
      </w:pPr>
    </w:p>
    <w:p w14:paraId="4F4F75AE" w14:textId="77777777" w:rsidR="00B17BEB" w:rsidRDefault="00B17BEB" w:rsidP="00FE6C73">
      <w:pPr>
        <w:rPr>
          <w:rFonts w:ascii="Times" w:hAnsi="Times" w:cs="Times"/>
        </w:rPr>
      </w:pPr>
    </w:p>
    <w:p w14:paraId="773C1060" w14:textId="77777777" w:rsidR="00B17BEB" w:rsidRDefault="00B17BEB" w:rsidP="00FE6C73">
      <w:pPr>
        <w:rPr>
          <w:rFonts w:ascii="Times" w:hAnsi="Times" w:cs="Times"/>
        </w:rPr>
      </w:pPr>
    </w:p>
    <w:p w14:paraId="6C1D4775" w14:textId="77777777" w:rsidR="00B17BEB" w:rsidRDefault="00B17BEB" w:rsidP="00FE6C73">
      <w:pPr>
        <w:rPr>
          <w:rFonts w:ascii="Times" w:hAnsi="Times" w:cs="Times"/>
        </w:rPr>
      </w:pPr>
    </w:p>
    <w:p w14:paraId="73815EFC" w14:textId="77777777" w:rsidR="00B17BEB" w:rsidRDefault="00B17BEB" w:rsidP="00FE6C73">
      <w:pPr>
        <w:rPr>
          <w:rFonts w:ascii="Times" w:hAnsi="Times" w:cs="Times"/>
        </w:rPr>
      </w:pPr>
    </w:p>
    <w:p w14:paraId="563E0DD8" w14:textId="77777777" w:rsidR="00B17BEB" w:rsidRDefault="00B17BEB" w:rsidP="00FE6C73">
      <w:pPr>
        <w:rPr>
          <w:rFonts w:ascii="Times" w:hAnsi="Times" w:cs="Times"/>
        </w:rPr>
      </w:pPr>
    </w:p>
    <w:p w14:paraId="6BC242E0" w14:textId="77777777" w:rsidR="00B17BEB" w:rsidRDefault="00B17BEB" w:rsidP="00FE6C73">
      <w:pPr>
        <w:rPr>
          <w:rFonts w:ascii="Times" w:hAnsi="Times" w:cs="Times"/>
        </w:rPr>
      </w:pPr>
    </w:p>
    <w:p w14:paraId="26AE7724" w14:textId="77777777" w:rsidR="00B17BEB" w:rsidRDefault="00B17BEB" w:rsidP="00FE6C73">
      <w:pPr>
        <w:rPr>
          <w:rFonts w:ascii="Times" w:hAnsi="Times" w:cs="Times"/>
        </w:rPr>
      </w:pPr>
    </w:p>
    <w:p w14:paraId="1903BEC4" w14:textId="77777777" w:rsidR="00B17BEB" w:rsidRDefault="00B17BEB" w:rsidP="00FE6C73">
      <w:pPr>
        <w:rPr>
          <w:rFonts w:ascii="Times" w:hAnsi="Times" w:cs="Times"/>
        </w:rPr>
      </w:pPr>
    </w:p>
    <w:p w14:paraId="6245F1E3" w14:textId="77777777" w:rsidR="00B17BEB" w:rsidRDefault="00B17BEB" w:rsidP="00FE6C73">
      <w:pPr>
        <w:rPr>
          <w:rFonts w:ascii="Times" w:hAnsi="Times" w:cs="Times"/>
        </w:rPr>
      </w:pPr>
    </w:p>
    <w:p w14:paraId="0FD8483D" w14:textId="77777777" w:rsidR="00B17BEB" w:rsidRDefault="00B17BEB" w:rsidP="00FE6C73">
      <w:pPr>
        <w:rPr>
          <w:rFonts w:ascii="Times" w:hAnsi="Times" w:cs="Times"/>
        </w:rPr>
      </w:pPr>
    </w:p>
    <w:p w14:paraId="04FCCD24" w14:textId="77777777" w:rsidR="00B17BEB" w:rsidRDefault="00B17BEB" w:rsidP="00FE6C73">
      <w:pPr>
        <w:rPr>
          <w:rFonts w:ascii="Times" w:hAnsi="Times" w:cs="Times"/>
        </w:rPr>
      </w:pPr>
    </w:p>
    <w:p w14:paraId="23093004" w14:textId="77777777" w:rsidR="00B17BEB" w:rsidRDefault="00B17BEB" w:rsidP="00FE6C73">
      <w:pPr>
        <w:rPr>
          <w:rFonts w:ascii="Times" w:hAnsi="Times" w:cs="Times"/>
        </w:rPr>
      </w:pPr>
    </w:p>
    <w:p w14:paraId="05EAA5FF" w14:textId="77777777" w:rsidR="00B17BEB" w:rsidRDefault="00B17BEB" w:rsidP="00FE6C73">
      <w:pPr>
        <w:rPr>
          <w:rFonts w:ascii="Times" w:hAnsi="Times" w:cs="Times"/>
        </w:rPr>
      </w:pPr>
    </w:p>
    <w:p w14:paraId="053691C8" w14:textId="77777777" w:rsidR="00B17BEB" w:rsidRDefault="00B17BEB" w:rsidP="00FE6C73">
      <w:pPr>
        <w:rPr>
          <w:rFonts w:ascii="Times" w:hAnsi="Times" w:cs="Times"/>
        </w:rPr>
      </w:pPr>
    </w:p>
    <w:p w14:paraId="6149A4A4" w14:textId="77777777" w:rsidR="00B17BEB" w:rsidRDefault="00B17BEB" w:rsidP="00FE6C73">
      <w:pPr>
        <w:rPr>
          <w:rFonts w:ascii="Times" w:hAnsi="Times" w:cs="Times"/>
        </w:rPr>
      </w:pPr>
    </w:p>
    <w:p w14:paraId="233672A1" w14:textId="77777777" w:rsidR="00B17BEB" w:rsidRPr="00742633" w:rsidRDefault="00B17BEB" w:rsidP="00FE6C73">
      <w:pPr>
        <w:rPr>
          <w:rFonts w:ascii="Times" w:hAnsi="Times" w:cs="Times"/>
        </w:rPr>
      </w:pPr>
    </w:p>
    <w:p w14:paraId="6D77FCD5" w14:textId="77777777" w:rsidR="00D4625A" w:rsidRDefault="00D4625A" w:rsidP="001F5329">
      <w:pPr>
        <w:rPr>
          <w:rFonts w:ascii="Times" w:hAnsi="Times"/>
          <w:b/>
        </w:rPr>
      </w:pPr>
      <w:r w:rsidRPr="00D4625A">
        <w:rPr>
          <w:rFonts w:ascii="Times" w:hAnsi="Times"/>
          <w:b/>
        </w:rPr>
        <w:lastRenderedPageBreak/>
        <w:t>General Fund Revenue, Expenditure and Ending Cash Balance</w:t>
      </w:r>
    </w:p>
    <w:p w14:paraId="3A9A825C" w14:textId="5B0F1A7C" w:rsidR="0033016F" w:rsidRPr="001F5329" w:rsidRDefault="00EE4FB9" w:rsidP="001F5329">
      <w:r w:rsidRPr="00C328B3">
        <w:t>The graph captures in one snapshot the operating scenario facing the District over the next few years.</w:t>
      </w:r>
      <w:r w:rsidR="007E5249" w:rsidRPr="00C328B3">
        <w:t xml:space="preserve"> </w:t>
      </w:r>
    </w:p>
    <w:p w14:paraId="10455F97" w14:textId="1A1264FC" w:rsidR="001F5329" w:rsidRDefault="001F5329" w:rsidP="00457DF2">
      <w:pPr>
        <w:rPr>
          <w:b/>
          <w:sz w:val="28"/>
          <w:szCs w:val="28"/>
        </w:rPr>
      </w:pPr>
    </w:p>
    <w:p w14:paraId="35C00586" w14:textId="342F4E25" w:rsidR="0064214E" w:rsidRDefault="00F9305C" w:rsidP="00E7453A">
      <w:pPr>
        <w:jc w:val="center"/>
        <w:rPr>
          <w:b/>
          <w:sz w:val="28"/>
          <w:szCs w:val="28"/>
        </w:rPr>
      </w:pPr>
      <w:r>
        <w:rPr>
          <w:noProof/>
        </w:rPr>
        <w:pict w14:anchorId="71D861A2">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Callout: Line 2" o:spid="_x0000_s2073" type="#_x0000_t47" style="position:absolute;left:0;text-align:left;margin-left:370.65pt;margin-top:108.05pt;width:88.35pt;height:26.35pt;z-index:251659264;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" adj="-17774,-29838,-1467,7378,-84200,-79965,-84200,-79965" fillcolor="yellow">
            <v:stroke joinstyle="round"/>
            <v:textbox inset="1.44pt,0,0,0">
              <w:txbxContent>
                <w:p w14:paraId="4EF1EC9D" w14:textId="77777777" w:rsidR="00414BD3" w:rsidRPr="00414BD3" w:rsidRDefault="00414BD3" w:rsidP="00414BD3">
                  <w:pPr>
                    <w:rPr>
                      <w:rFonts w:asciiTheme="minorHAnsi" w:hAnsi="Calibri" w:cstheme="minorBidi"/>
                      <w:color w:val="000000" w:themeColor="text1"/>
                      <w:sz w:val="18"/>
                      <w:szCs w:val="18"/>
                    </w:rPr>
                  </w:pPr>
                  <w:r w:rsidRPr="00414BD3">
                    <w:rPr>
                      <w:rFonts w:asciiTheme="minorHAnsi" w:hAnsi="Calibri" w:cstheme="minorBidi"/>
                      <w:color w:val="000000" w:themeColor="text1"/>
                      <w:sz w:val="18"/>
                      <w:szCs w:val="18"/>
                    </w:rPr>
                    <w:t>New Tax Laws Will Slow growth</w:t>
                  </w:r>
                </w:p>
              </w:txbxContent>
            </v:textbox>
          </v:shape>
        </w:pict>
      </w:r>
      <w:r w:rsidR="00D4625A">
        <w:rPr>
          <w:b/>
          <w:sz w:val="28"/>
          <w:szCs w:val="28"/>
        </w:rPr>
        <w:object w:dxaOrig="13785" w:dyaOrig="6525" w14:anchorId="5B8EB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7.5pt" o:ole="">
            <v:imagedata r:id="rId10" o:title=""/>
          </v:shape>
          <o:OLEObject Type="Link" ProgID="Excel.Sheet.12" ShapeID="_x0000_i1025" DrawAspect="Content" r:id="rId11" UpdateMode="Always">
            <o:LinkType>EnhancedMetaFile</o:LinkType>
            <o:LockedField>false</o:LockedField>
          </o:OLEObject>
        </w:object>
      </w:r>
    </w:p>
    <w:p w14:paraId="796C42B4" w14:textId="68DB036B" w:rsidR="00B52EEC" w:rsidRDefault="00B52EEC" w:rsidP="00B52EEC">
      <w:pPr>
        <w:rPr>
          <w:b/>
          <w:sz w:val="28"/>
          <w:szCs w:val="28"/>
        </w:rPr>
      </w:pPr>
    </w:p>
    <w:p w14:paraId="351F11FD" w14:textId="77777777" w:rsidR="00414BD3" w:rsidRDefault="00414BD3" w:rsidP="00B52EEC">
      <w:pPr>
        <w:rPr>
          <w:b/>
          <w:sz w:val="28"/>
          <w:szCs w:val="28"/>
        </w:rPr>
      </w:pPr>
    </w:p>
    <w:p w14:paraId="77F02B29" w14:textId="77777777" w:rsidR="00D75272" w:rsidRPr="00EE4FB9" w:rsidRDefault="00CF416C" w:rsidP="00CF416C">
      <w:pPr>
        <w:jc w:val="center"/>
        <w:rPr>
          <w:b/>
          <w:sz w:val="28"/>
          <w:szCs w:val="28"/>
        </w:rPr>
      </w:pPr>
      <w:r w:rsidRPr="00EE4FB9">
        <w:rPr>
          <w:b/>
          <w:sz w:val="28"/>
          <w:szCs w:val="28"/>
        </w:rPr>
        <w:t>Revenue Assumptions</w:t>
      </w:r>
    </w:p>
    <w:p w14:paraId="53B4B7BC" w14:textId="3F205D23" w:rsidR="007139A4" w:rsidRPr="00CF416C" w:rsidRDefault="0069272D" w:rsidP="00EE4FB9">
      <w:pPr>
        <w:jc w:val="center"/>
        <w:rPr>
          <w:b/>
        </w:rPr>
      </w:pPr>
      <w:r w:rsidRPr="0096591C">
        <w:rPr>
          <w:b/>
        </w:rPr>
        <w:t>Estimate</w:t>
      </w:r>
      <w:r w:rsidR="0082735A" w:rsidRPr="0096591C">
        <w:rPr>
          <w:b/>
        </w:rPr>
        <w:t xml:space="preserve">d General Fund </w:t>
      </w:r>
      <w:r w:rsidR="00DD6BA5" w:rsidRPr="0096591C">
        <w:rPr>
          <w:b/>
        </w:rPr>
        <w:t xml:space="preserve">Operating </w:t>
      </w:r>
      <w:r w:rsidR="005101C2">
        <w:rPr>
          <w:b/>
        </w:rPr>
        <w:t>Re</w:t>
      </w:r>
      <w:r w:rsidR="0033016F">
        <w:rPr>
          <w:b/>
        </w:rPr>
        <w:t>venue for FY2</w:t>
      </w:r>
      <w:r w:rsidR="00D4625A">
        <w:rPr>
          <w:b/>
        </w:rPr>
        <w:t>7</w:t>
      </w:r>
    </w:p>
    <w:p w14:paraId="56F97A3E" w14:textId="217E6B44" w:rsidR="002E2CAE" w:rsidRDefault="002E2CAE" w:rsidP="00EE4FB9">
      <w:pPr>
        <w:jc w:val="center"/>
      </w:pPr>
    </w:p>
    <w:p w14:paraId="220F7639" w14:textId="770C4521" w:rsidR="0064214E" w:rsidRPr="0096591C" w:rsidRDefault="00D4625A" w:rsidP="00EE4FB9">
      <w:pPr>
        <w:jc w:val="center"/>
      </w:pPr>
      <w:r>
        <w:object w:dxaOrig="13785" w:dyaOrig="6420" w14:anchorId="7E9B913A">
          <v:shape id="_x0000_i1026" type="#_x0000_t75" style="width:469.5pt;height:274.5pt" o:ole="">
            <v:imagedata r:id="rId12" o:title=""/>
          </v:shape>
          <o:OLEObject Type="Link" ProgID="Excel.Sheet.12" ShapeID="_x0000_i1026" DrawAspect="Content" r:id="rId13" UpdateMode="Always">
            <o:LinkType>EnhancedMetaFile</o:LinkType>
            <o:LockedField>false</o:LockedField>
          </o:OLEObject>
        </w:object>
      </w:r>
    </w:p>
    <w:p w14:paraId="3BD37949" w14:textId="77777777" w:rsidR="00350FCE" w:rsidRPr="0096591C" w:rsidRDefault="00350FCE" w:rsidP="00B76533">
      <w:pPr>
        <w:jc w:val="center"/>
        <w:rPr>
          <w:b/>
        </w:rPr>
      </w:pPr>
    </w:p>
    <w:p w14:paraId="0C57C1E4" w14:textId="77777777" w:rsidR="00742633" w:rsidRPr="00A42C0E" w:rsidRDefault="00742633" w:rsidP="00742633">
      <w:pPr>
        <w:pStyle w:val="Heading2"/>
        <w:rPr>
          <w:rFonts w:ascii="Times" w:hAnsi="Times"/>
        </w:rPr>
      </w:pPr>
      <w:bookmarkStart w:id="15" w:name="_Hlk178918139"/>
      <w:r w:rsidRPr="00F37D50">
        <w:rPr>
          <w:rFonts w:ascii="Times" w:hAnsi="Times"/>
        </w:rPr>
        <w:lastRenderedPageBreak/>
        <w:t>General Property Tax and Property Value Assumptions (Real Estate)</w:t>
      </w:r>
      <w:bookmarkEnd w:id="15"/>
      <w:r w:rsidRPr="00F37D50">
        <w:rPr>
          <w:rFonts w:ascii="Times" w:hAnsi="Times"/>
        </w:rPr>
        <w:t xml:space="preserve"> – Line #1.010</w:t>
      </w:r>
    </w:p>
    <w:p w14:paraId="2405E306" w14:textId="15BCDEAE" w:rsidR="00227DE4" w:rsidRPr="006F4A0B" w:rsidRDefault="00227DE4" w:rsidP="00227DE4">
      <w:pPr>
        <w:rPr>
          <w:rFonts w:ascii="Times" w:hAnsi="Times"/>
        </w:rPr>
      </w:pPr>
      <w:r w:rsidRPr="00A42C0E">
        <w:rPr>
          <w:rFonts w:ascii="Times" w:hAnsi="Times"/>
        </w:rPr>
        <w:t xml:space="preserve">Property Values are established </w:t>
      </w:r>
      <w:r>
        <w:rPr>
          <w:rFonts w:ascii="Times" w:hAnsi="Times"/>
        </w:rPr>
        <w:t>annually</w:t>
      </w:r>
      <w:r w:rsidRPr="00A42C0E">
        <w:rPr>
          <w:rFonts w:ascii="Times" w:hAnsi="Times"/>
        </w:rPr>
        <w:t xml:space="preserve"> by the </w:t>
      </w:r>
      <w:r w:rsidRPr="00414BD3">
        <w:rPr>
          <w:rFonts w:ascii="Times" w:hAnsi="Times"/>
        </w:rPr>
        <w:t xml:space="preserve">County Auditor based on new construction, demolitions, BOR/BTA activity, and complete reappraisal or updated values. </w:t>
      </w:r>
      <w:r w:rsidR="00457DF2" w:rsidRPr="00414BD3">
        <w:rPr>
          <w:rFonts w:ascii="Times" w:hAnsi="Times" w:cs="Times"/>
        </w:rPr>
        <w:t xml:space="preserve">New HB186 allows new construction growth in property taxes irrespective of GDP DF.  </w:t>
      </w:r>
      <w:r w:rsidR="003B3070" w:rsidRPr="00414BD3">
        <w:rPr>
          <w:rFonts w:ascii="Times" w:hAnsi="Times"/>
        </w:rPr>
        <w:t>Morrow and Richland</w:t>
      </w:r>
      <w:r w:rsidRPr="00414BD3">
        <w:rPr>
          <w:rFonts w:ascii="Times" w:hAnsi="Times"/>
        </w:rPr>
        <w:t xml:space="preserve"> Count</w:t>
      </w:r>
      <w:r w:rsidR="003B3070" w:rsidRPr="00414BD3">
        <w:rPr>
          <w:rFonts w:ascii="Times" w:hAnsi="Times"/>
        </w:rPr>
        <w:t>ies</w:t>
      </w:r>
      <w:r w:rsidRPr="00414BD3">
        <w:rPr>
          <w:rFonts w:ascii="Times" w:hAnsi="Times"/>
        </w:rPr>
        <w:t xml:space="preserve"> experienced reappraisal</w:t>
      </w:r>
      <w:r w:rsidR="003B3070" w:rsidRPr="00414BD3">
        <w:rPr>
          <w:rFonts w:ascii="Times" w:hAnsi="Times"/>
        </w:rPr>
        <w:t>s</w:t>
      </w:r>
      <w:r w:rsidRPr="00414BD3">
        <w:rPr>
          <w:rFonts w:ascii="Times" w:hAnsi="Times"/>
        </w:rPr>
        <w:t xml:space="preserve"> for the 20</w:t>
      </w:r>
      <w:r w:rsidR="003B3070" w:rsidRPr="00414BD3">
        <w:rPr>
          <w:rFonts w:ascii="Times" w:hAnsi="Times"/>
        </w:rPr>
        <w:t>23</w:t>
      </w:r>
      <w:r w:rsidRPr="00414BD3">
        <w:rPr>
          <w:rFonts w:ascii="Times" w:hAnsi="Times"/>
        </w:rPr>
        <w:t xml:space="preserve"> tax year to be collected in 202</w:t>
      </w:r>
      <w:r w:rsidR="003B3070" w:rsidRPr="00414BD3">
        <w:rPr>
          <w:rFonts w:ascii="Times" w:hAnsi="Times"/>
        </w:rPr>
        <w:t>4</w:t>
      </w:r>
      <w:r w:rsidRPr="00414BD3">
        <w:rPr>
          <w:rFonts w:ascii="Times" w:hAnsi="Times"/>
        </w:rPr>
        <w:t xml:space="preserve">. Due to the reappraisal led by an improving housing market, residential/agricultural values increased </w:t>
      </w:r>
      <w:r w:rsidR="003B3070" w:rsidRPr="00414BD3">
        <w:rPr>
          <w:rFonts w:ascii="Times" w:hAnsi="Times"/>
        </w:rPr>
        <w:t>2.89</w:t>
      </w:r>
      <w:r w:rsidRPr="00414BD3">
        <w:rPr>
          <w:rFonts w:ascii="Times" w:hAnsi="Times"/>
        </w:rPr>
        <w:t>% or $</w:t>
      </w:r>
      <w:r w:rsidR="003B3070" w:rsidRPr="00414BD3">
        <w:rPr>
          <w:rFonts w:ascii="Times" w:hAnsi="Times"/>
        </w:rPr>
        <w:t>4.63</w:t>
      </w:r>
      <w:r w:rsidRPr="00414BD3">
        <w:rPr>
          <w:rFonts w:ascii="Times" w:hAnsi="Times"/>
        </w:rPr>
        <w:t xml:space="preserve"> million.</w:t>
      </w:r>
      <w:r w:rsidRPr="006F4A0B">
        <w:rPr>
          <w:rFonts w:ascii="Times" w:hAnsi="Times"/>
        </w:rPr>
        <w:t xml:space="preserve">  </w:t>
      </w:r>
    </w:p>
    <w:p w14:paraId="10E310F5" w14:textId="77777777" w:rsidR="00227DE4" w:rsidRPr="006F4A0B" w:rsidRDefault="00227DE4" w:rsidP="00227DE4">
      <w:pPr>
        <w:rPr>
          <w:rFonts w:ascii="Times" w:hAnsi="Times"/>
        </w:rPr>
      </w:pPr>
    </w:p>
    <w:p w14:paraId="720E4E2F" w14:textId="5769FF59" w:rsidR="00227DE4" w:rsidRPr="006F4A0B" w:rsidRDefault="003B3070" w:rsidP="00227DE4">
      <w:pPr>
        <w:rPr>
          <w:rFonts w:ascii="Times" w:hAnsi="Times"/>
        </w:rPr>
      </w:pPr>
      <w:r w:rsidRPr="006F4A0B">
        <w:t>Additionally, Crawford County experienced a full reappraisal in tax year 2024 to be collected in FY25. Overall values rose $76 million or 38.48%.</w:t>
      </w:r>
    </w:p>
    <w:p w14:paraId="29DA5058" w14:textId="77777777" w:rsidR="00227DE4" w:rsidRPr="006F4A0B" w:rsidRDefault="00227DE4" w:rsidP="00227DE4">
      <w:pPr>
        <w:rPr>
          <w:rFonts w:ascii="Times" w:hAnsi="Times"/>
        </w:rPr>
      </w:pPr>
    </w:p>
    <w:p w14:paraId="37490FC5" w14:textId="6898C986" w:rsidR="00227DE4" w:rsidRPr="006F4A0B" w:rsidRDefault="003B3070" w:rsidP="00227DE4">
      <w:pPr>
        <w:rPr>
          <w:rFonts w:ascii="Times" w:hAnsi="Times"/>
        </w:rPr>
      </w:pPr>
      <w:r w:rsidRPr="006F4A0B">
        <w:rPr>
          <w:rFonts w:ascii="Times" w:hAnsi="Times"/>
        </w:rPr>
        <w:t>R</w:t>
      </w:r>
      <w:r w:rsidR="00227DE4" w:rsidRPr="006F4A0B">
        <w:rPr>
          <w:rFonts w:ascii="Times" w:hAnsi="Times"/>
        </w:rPr>
        <w:t>eappraisal update</w:t>
      </w:r>
      <w:r w:rsidRPr="006F4A0B">
        <w:rPr>
          <w:rFonts w:ascii="Times" w:hAnsi="Times"/>
        </w:rPr>
        <w:t>s</w:t>
      </w:r>
      <w:r w:rsidR="00227DE4" w:rsidRPr="006F4A0B">
        <w:rPr>
          <w:rFonts w:ascii="Times" w:hAnsi="Times"/>
        </w:rPr>
        <w:t xml:space="preserve"> will occur </w:t>
      </w:r>
      <w:r w:rsidRPr="006F4A0B">
        <w:rPr>
          <w:rFonts w:ascii="Times" w:hAnsi="Times"/>
        </w:rPr>
        <w:t xml:space="preserve">in Morrow and Richland Counties </w:t>
      </w:r>
      <w:r w:rsidR="00227DE4" w:rsidRPr="006F4A0B">
        <w:rPr>
          <w:rFonts w:ascii="Times" w:hAnsi="Times"/>
        </w:rPr>
        <w:t>in 20</w:t>
      </w:r>
      <w:r w:rsidRPr="006F4A0B">
        <w:rPr>
          <w:rFonts w:ascii="Times" w:hAnsi="Times"/>
        </w:rPr>
        <w:t>26</w:t>
      </w:r>
      <w:r w:rsidR="00227DE4" w:rsidRPr="006F4A0B">
        <w:rPr>
          <w:rFonts w:ascii="Times" w:hAnsi="Times"/>
        </w:rPr>
        <w:t xml:space="preserve"> for collection in 20</w:t>
      </w:r>
      <w:r w:rsidRPr="006F4A0B">
        <w:rPr>
          <w:rFonts w:ascii="Times" w:hAnsi="Times"/>
        </w:rPr>
        <w:t>27</w:t>
      </w:r>
      <w:r w:rsidR="00227DE4" w:rsidRPr="006F4A0B">
        <w:rPr>
          <w:rFonts w:ascii="Times" w:hAnsi="Times"/>
        </w:rPr>
        <w:t xml:space="preserve">, for which we estimate a </w:t>
      </w:r>
      <w:r w:rsidR="00414BD3">
        <w:rPr>
          <w:rFonts w:ascii="Times" w:hAnsi="Times"/>
        </w:rPr>
        <w:t>3</w:t>
      </w:r>
      <w:r w:rsidR="00227DE4" w:rsidRPr="006F4A0B">
        <w:rPr>
          <w:rFonts w:ascii="Times" w:hAnsi="Times"/>
        </w:rPr>
        <w:t xml:space="preserve">% increase in residential and a </w:t>
      </w:r>
      <w:r w:rsidRPr="006F4A0B">
        <w:rPr>
          <w:rFonts w:ascii="Times" w:hAnsi="Times"/>
        </w:rPr>
        <w:t>0</w:t>
      </w:r>
      <w:r w:rsidR="00227DE4" w:rsidRPr="006F4A0B">
        <w:rPr>
          <w:rFonts w:ascii="Times" w:hAnsi="Times"/>
        </w:rPr>
        <w:t>% increase for commercial/industrial property. We anticipate Residential/Agricultural and Commercial/Industrial values to increase by $</w:t>
      </w:r>
      <w:r w:rsidR="00414BD3">
        <w:rPr>
          <w:rFonts w:ascii="Times" w:hAnsi="Times"/>
        </w:rPr>
        <w:t>7.33</w:t>
      </w:r>
      <w:r w:rsidR="00227DE4" w:rsidRPr="006F4A0B">
        <w:rPr>
          <w:rFonts w:ascii="Times" w:hAnsi="Times"/>
        </w:rPr>
        <w:t xml:space="preserve"> million or </w:t>
      </w:r>
      <w:r w:rsidR="00414BD3">
        <w:rPr>
          <w:rFonts w:ascii="Times" w:hAnsi="Times"/>
        </w:rPr>
        <w:t>2.68</w:t>
      </w:r>
      <w:r w:rsidR="00227DE4" w:rsidRPr="006F4A0B">
        <w:rPr>
          <w:rFonts w:ascii="Times" w:hAnsi="Times"/>
        </w:rPr>
        <w:t>% overall.</w:t>
      </w:r>
      <w:r w:rsidRPr="006F4A0B">
        <w:rPr>
          <w:rFonts w:ascii="Times" w:hAnsi="Times"/>
        </w:rPr>
        <w:t xml:space="preserve"> Crawford County </w:t>
      </w:r>
      <w:r w:rsidR="006F4A0B" w:rsidRPr="006F4A0B">
        <w:rPr>
          <w:rFonts w:ascii="Times" w:hAnsi="Times"/>
        </w:rPr>
        <w:t>will experience a reappraisal update in tax year 2027 for collection in FY28. We anticipate Residential/Agricultural and Commercial/Industrial values to increase by $</w:t>
      </w:r>
      <w:r w:rsidR="00D4625A">
        <w:rPr>
          <w:rFonts w:ascii="Times" w:hAnsi="Times"/>
        </w:rPr>
        <w:t>19.4</w:t>
      </w:r>
      <w:r w:rsidR="006F4A0B" w:rsidRPr="006F4A0B">
        <w:rPr>
          <w:rFonts w:ascii="Times" w:hAnsi="Times"/>
        </w:rPr>
        <w:t xml:space="preserve"> million or </w:t>
      </w:r>
      <w:r w:rsidR="00D4625A">
        <w:rPr>
          <w:rFonts w:ascii="Times" w:hAnsi="Times"/>
        </w:rPr>
        <w:t>6.92</w:t>
      </w:r>
      <w:r w:rsidR="006F4A0B" w:rsidRPr="006F4A0B">
        <w:rPr>
          <w:rFonts w:ascii="Times" w:hAnsi="Times"/>
        </w:rPr>
        <w:t>%.</w:t>
      </w:r>
    </w:p>
    <w:p w14:paraId="08EEBD34" w14:textId="77777777" w:rsidR="00227DE4" w:rsidRPr="006F4A0B" w:rsidRDefault="00227DE4" w:rsidP="00227DE4">
      <w:pPr>
        <w:rPr>
          <w:rFonts w:ascii="Times" w:hAnsi="Times"/>
        </w:rPr>
      </w:pPr>
    </w:p>
    <w:p w14:paraId="49DD360D" w14:textId="0CB65DD8" w:rsidR="00227DE4" w:rsidRPr="006F4A0B" w:rsidRDefault="00227DE4" w:rsidP="00227DE4">
      <w:pPr>
        <w:rPr>
          <w:rFonts w:ascii="Times" w:hAnsi="Times"/>
        </w:rPr>
      </w:pPr>
      <w:r w:rsidRPr="006F4A0B">
        <w:rPr>
          <w:rFonts w:ascii="Times" w:hAnsi="Times"/>
        </w:rPr>
        <w:t>Public Utility Personal Property (PUPP) values increased by $</w:t>
      </w:r>
      <w:r w:rsidR="00414BD3">
        <w:rPr>
          <w:rFonts w:ascii="Times" w:hAnsi="Times"/>
        </w:rPr>
        <w:t>444,995</w:t>
      </w:r>
      <w:r w:rsidRPr="006F4A0B">
        <w:rPr>
          <w:rFonts w:ascii="Times" w:hAnsi="Times"/>
        </w:rPr>
        <w:t xml:space="preserve"> million in Tax Year 20</w:t>
      </w:r>
      <w:r w:rsidR="006F4A0B" w:rsidRPr="006F4A0B">
        <w:rPr>
          <w:rFonts w:ascii="Times" w:hAnsi="Times"/>
        </w:rPr>
        <w:t>2</w:t>
      </w:r>
      <w:r w:rsidR="00414BD3">
        <w:rPr>
          <w:rFonts w:ascii="Times" w:hAnsi="Times"/>
        </w:rPr>
        <w:t>5</w:t>
      </w:r>
      <w:r w:rsidRPr="006F4A0B">
        <w:rPr>
          <w:rFonts w:ascii="Times" w:hAnsi="Times"/>
        </w:rPr>
        <w:t>. We expect our values to continue to grow by $</w:t>
      </w:r>
      <w:r w:rsidR="00414BD3">
        <w:rPr>
          <w:rFonts w:ascii="Times" w:hAnsi="Times"/>
        </w:rPr>
        <w:t>50</w:t>
      </w:r>
      <w:r w:rsidR="006F4A0B" w:rsidRPr="006F4A0B">
        <w:rPr>
          <w:rFonts w:ascii="Times" w:hAnsi="Times"/>
        </w:rPr>
        <w:t>0,000</w:t>
      </w:r>
      <w:r w:rsidRPr="006F4A0B">
        <w:rPr>
          <w:rFonts w:ascii="Times" w:hAnsi="Times"/>
        </w:rPr>
        <w:t xml:space="preserve"> each year of the forecast.</w:t>
      </w:r>
    </w:p>
    <w:p w14:paraId="466F7979" w14:textId="77777777" w:rsidR="00227DE4" w:rsidRPr="006F4A0B" w:rsidRDefault="00227DE4" w:rsidP="00227DE4">
      <w:pPr>
        <w:rPr>
          <w:rFonts w:ascii="Times" w:hAnsi="Times"/>
        </w:rPr>
      </w:pPr>
    </w:p>
    <w:p w14:paraId="57412EFC" w14:textId="09B76A25" w:rsidR="00A901D5" w:rsidRDefault="00227DE4" w:rsidP="00EE4FB9">
      <w:pPr>
        <w:rPr>
          <w:rFonts w:ascii="Times" w:hAnsi="Times"/>
        </w:rPr>
      </w:pPr>
      <w:r w:rsidRPr="006F4A0B">
        <w:rPr>
          <w:rFonts w:ascii="Times" w:hAnsi="Times"/>
        </w:rPr>
        <w:t>We have been conservative with any future value increases for reappraisal or updates due to uncertainty over pending legislative as noted in the Forecast Risks and Uncertainty above.</w:t>
      </w:r>
    </w:p>
    <w:p w14:paraId="2B72850C" w14:textId="77777777" w:rsidR="00414BD3" w:rsidRDefault="00414BD3" w:rsidP="00EE4FB9">
      <w:pPr>
        <w:rPr>
          <w:rFonts w:ascii="Times" w:hAnsi="Times"/>
        </w:rPr>
      </w:pPr>
    </w:p>
    <w:p w14:paraId="1962AF08" w14:textId="63DDC133" w:rsidR="00002D23" w:rsidRPr="0096591C" w:rsidRDefault="00002D23">
      <w:pPr>
        <w:rPr>
          <w:b/>
        </w:rPr>
      </w:pPr>
      <w:r w:rsidRPr="0096591C">
        <w:rPr>
          <w:b/>
        </w:rPr>
        <w:t>ESTIMATED ASSESSED VALUE (AV) BY COLLECTION YEARS</w:t>
      </w:r>
    </w:p>
    <w:p w14:paraId="5099F512" w14:textId="0C643A8A" w:rsidR="0064214E" w:rsidRDefault="007C2CF0">
      <w:pPr>
        <w:rPr>
          <w:b/>
        </w:rPr>
      </w:pPr>
      <w:r>
        <w:object w:dxaOrig="13260" w:dyaOrig="2160" w14:anchorId="5B90A2C3">
          <v:shape id="_x0000_i1027" type="#_x0000_t75" style="width:540pt;height:108pt" o:ole="">
            <v:imagedata r:id="rId14" o:title=""/>
          </v:shape>
          <o:OLEObject Type="Link" ProgID="Excel.Sheet.12" ShapeID="_x0000_i1027" DrawAspect="Content" r:id="rId15" UpdateMode="Always">
            <o:LinkType>EnhancedMetaFile</o:LinkType>
            <o:LockedField>false</o:LockedField>
          </o:OLEObject>
        </w:object>
      </w:r>
    </w:p>
    <w:p w14:paraId="6FBFBC98" w14:textId="77777777" w:rsidR="006F4A0B" w:rsidRDefault="006F4A0B" w:rsidP="00090F3C">
      <w:pPr>
        <w:rPr>
          <w:rFonts w:ascii="Times" w:hAnsi="Times"/>
          <w:b/>
        </w:rPr>
      </w:pPr>
    </w:p>
    <w:p w14:paraId="0E672F9A" w14:textId="00E86D8F" w:rsidR="00090F3C" w:rsidRPr="00090F3C" w:rsidRDefault="00090F3C" w:rsidP="00090F3C">
      <w:pPr>
        <w:rPr>
          <w:rFonts w:ascii="Times" w:hAnsi="Times"/>
          <w:b/>
        </w:rPr>
      </w:pPr>
      <w:r w:rsidRPr="00090F3C">
        <w:rPr>
          <w:rFonts w:ascii="Times" w:hAnsi="Times"/>
          <w:b/>
        </w:rPr>
        <w:t>Tax Rate Assumptions</w:t>
      </w:r>
    </w:p>
    <w:p w14:paraId="69EA2C08" w14:textId="77777777" w:rsidR="00457DF2" w:rsidRDefault="00090F3C" w:rsidP="00457DF2">
      <w:pPr>
        <w:rPr>
          <w:rFonts w:ascii="Times" w:hAnsi="Times" w:cs="Times"/>
          <w:bCs/>
        </w:rPr>
      </w:pPr>
      <w:r w:rsidRPr="00090F3C">
        <w:rPr>
          <w:rFonts w:ascii="Times" w:hAnsi="Times"/>
          <w:bCs/>
        </w:rPr>
        <w:t xml:space="preserve">The </w:t>
      </w:r>
      <w:r w:rsidR="001F5329">
        <w:rPr>
          <w:rFonts w:ascii="Times" w:hAnsi="Times"/>
          <w:bCs/>
        </w:rPr>
        <w:t>Crawford C</w:t>
      </w:r>
      <w:r w:rsidRPr="00090F3C">
        <w:rPr>
          <w:rFonts w:ascii="Times" w:hAnsi="Times"/>
          <w:bCs/>
        </w:rPr>
        <w:t xml:space="preserve">ounty </w:t>
      </w:r>
      <w:r w:rsidR="001F5329">
        <w:rPr>
          <w:rFonts w:ascii="Times" w:hAnsi="Times"/>
          <w:bCs/>
        </w:rPr>
        <w:t>A</w:t>
      </w:r>
      <w:r w:rsidRPr="00090F3C">
        <w:rPr>
          <w:rFonts w:ascii="Times" w:hAnsi="Times"/>
          <w:bCs/>
        </w:rPr>
        <w:t xml:space="preserve">uditor sets tax rates for each levy voted on to provide tax revenues for the school district. Ohio </w:t>
      </w:r>
      <w:r w:rsidRPr="00B32646">
        <w:rPr>
          <w:rFonts w:ascii="Times" w:hAnsi="Times"/>
          <w:bCs/>
        </w:rPr>
        <w:t xml:space="preserve">law provides for “reduction factors” of all voted property tax levies to adjust the millage rates lower for the levy to not increase from inflation of property values for the taxes received by a district to that of the actual amount of the levy at the time of the election. The reduction factors are applied separately to Residential/Agriculture (Class I) and </w:t>
      </w:r>
      <w:r w:rsidRPr="00414BD3">
        <w:rPr>
          <w:rFonts w:ascii="Times" w:hAnsi="Times"/>
          <w:bCs/>
        </w:rPr>
        <w:t xml:space="preserve">Commercial/Industrial (Class II) resulting in different effective millage rates. The district-voted rate for all general fund levies is </w:t>
      </w:r>
      <w:r w:rsidR="001F5329" w:rsidRPr="00414BD3">
        <w:rPr>
          <w:rFonts w:ascii="Times" w:hAnsi="Times"/>
          <w:bCs/>
        </w:rPr>
        <w:t xml:space="preserve">52.23 </w:t>
      </w:r>
      <w:r w:rsidRPr="00414BD3">
        <w:rPr>
          <w:rFonts w:ascii="Times" w:hAnsi="Times"/>
          <w:bCs/>
        </w:rPr>
        <w:t xml:space="preserve">mills while the Class I effective millage rate is </w:t>
      </w:r>
      <w:r w:rsidR="001F5329" w:rsidRPr="00414BD3">
        <w:rPr>
          <w:rFonts w:ascii="Times" w:hAnsi="Times"/>
          <w:bCs/>
        </w:rPr>
        <w:t>2</w:t>
      </w:r>
      <w:r w:rsidR="00A663B5" w:rsidRPr="00414BD3">
        <w:rPr>
          <w:rFonts w:ascii="Times" w:hAnsi="Times"/>
          <w:bCs/>
        </w:rPr>
        <w:t>0</w:t>
      </w:r>
      <w:r w:rsidR="00457DF2" w:rsidRPr="00414BD3">
        <w:rPr>
          <w:rFonts w:ascii="Times" w:hAnsi="Times"/>
          <w:bCs/>
        </w:rPr>
        <w:t>.04</w:t>
      </w:r>
      <w:r w:rsidR="001F5329" w:rsidRPr="00414BD3">
        <w:rPr>
          <w:rFonts w:ascii="Times" w:hAnsi="Times"/>
          <w:bCs/>
        </w:rPr>
        <w:t xml:space="preserve"> </w:t>
      </w:r>
      <w:r w:rsidRPr="00414BD3">
        <w:rPr>
          <w:rFonts w:ascii="Times" w:hAnsi="Times"/>
          <w:bCs/>
        </w:rPr>
        <w:t xml:space="preserve">mills and the Class II effective millage rate is </w:t>
      </w:r>
      <w:r w:rsidR="001F5329" w:rsidRPr="00414BD3">
        <w:rPr>
          <w:rFonts w:ascii="Times" w:hAnsi="Times"/>
          <w:bCs/>
        </w:rPr>
        <w:t>3</w:t>
      </w:r>
      <w:r w:rsidR="00457DF2" w:rsidRPr="00414BD3">
        <w:rPr>
          <w:rFonts w:ascii="Times" w:hAnsi="Times"/>
          <w:bCs/>
        </w:rPr>
        <w:t>5.69</w:t>
      </w:r>
      <w:r w:rsidR="001F5329" w:rsidRPr="00414BD3">
        <w:rPr>
          <w:rFonts w:ascii="Times" w:hAnsi="Times"/>
          <w:bCs/>
        </w:rPr>
        <w:t xml:space="preserve"> </w:t>
      </w:r>
      <w:r w:rsidRPr="00414BD3">
        <w:rPr>
          <w:rFonts w:ascii="Times" w:hAnsi="Times"/>
          <w:bCs/>
        </w:rPr>
        <w:t xml:space="preserve">mills. </w:t>
      </w:r>
      <w:bookmarkStart w:id="16" w:name="_Hlk220148441"/>
      <w:r w:rsidR="00457DF2" w:rsidRPr="00414BD3">
        <w:rPr>
          <w:rFonts w:ascii="Times" w:hAnsi="Times" w:cs="Times"/>
          <w:bCs/>
        </w:rPr>
        <w:t>Current Ohio law has a provision that the reduction factors cannot lower the total millage rate for each class less than 20 mills (excluding emergency and substitute emergency levies), which includes both the voted and the non-voted millage rates; this is called the “20-Mill Floor”. Our district is on the floor for Class I but not on the floor for Class II.</w:t>
      </w:r>
      <w:r w:rsidR="00457DF2">
        <w:rPr>
          <w:rFonts w:ascii="Times" w:hAnsi="Times" w:cs="Times"/>
          <w:bCs/>
        </w:rPr>
        <w:t xml:space="preserve">  </w:t>
      </w:r>
    </w:p>
    <w:bookmarkEnd w:id="16"/>
    <w:p w14:paraId="116EF54B" w14:textId="571622E9" w:rsidR="00090F3C" w:rsidRDefault="00090F3C">
      <w:pPr>
        <w:rPr>
          <w:rFonts w:ascii="Times" w:hAnsi="Times"/>
          <w:bCs/>
        </w:rPr>
      </w:pPr>
    </w:p>
    <w:p w14:paraId="7E70A47A" w14:textId="77777777" w:rsidR="00414BD3" w:rsidRPr="00DA5FFC" w:rsidRDefault="00414BD3" w:rsidP="00414BD3">
      <w:pPr>
        <w:jc w:val="both"/>
        <w:rPr>
          <w:rFonts w:ascii="Times" w:hAnsi="Times"/>
          <w:bCs/>
        </w:rPr>
      </w:pPr>
      <w:bookmarkStart w:id="17" w:name="_Hlk220148534"/>
      <w:r w:rsidRPr="00DA5FFC">
        <w:rPr>
          <w:rFonts w:ascii="Times" w:hAnsi="Times"/>
          <w:bCs/>
        </w:rPr>
        <w:t>HB129 is a new law that restores fixed sum levies and now includes them in the 20-mill floor calculation.  HB129 will be in effect following the tax year 202</w:t>
      </w:r>
      <w:r>
        <w:rPr>
          <w:rFonts w:ascii="Times" w:hAnsi="Times"/>
          <w:bCs/>
        </w:rPr>
        <w:t>6</w:t>
      </w:r>
      <w:r w:rsidRPr="00DA5FFC">
        <w:rPr>
          <w:rFonts w:ascii="Times" w:hAnsi="Times"/>
          <w:bCs/>
        </w:rPr>
        <w:t xml:space="preserve"> reappraisal/triennial update. Our district does not have fixed sum, or emergency, levies, therefore, this will not impact our forecast. </w:t>
      </w:r>
    </w:p>
    <w:bookmarkEnd w:id="17"/>
    <w:p w14:paraId="074635DD" w14:textId="6CC189AF" w:rsidR="00457DF2" w:rsidRDefault="00457DF2">
      <w:pPr>
        <w:rPr>
          <w:rFonts w:ascii="Times" w:hAnsi="Times"/>
          <w:bCs/>
        </w:rPr>
      </w:pPr>
    </w:p>
    <w:p w14:paraId="4152329D" w14:textId="77777777" w:rsidR="00D4625A" w:rsidRDefault="00D4625A">
      <w:pPr>
        <w:rPr>
          <w:rFonts w:ascii="Times" w:hAnsi="Times"/>
          <w:bCs/>
        </w:rPr>
      </w:pPr>
    </w:p>
    <w:p w14:paraId="438295D4" w14:textId="77777777" w:rsidR="009C0175" w:rsidRDefault="009C0175">
      <w:pPr>
        <w:rPr>
          <w:rFonts w:ascii="Times" w:hAnsi="Times"/>
          <w:bCs/>
        </w:rPr>
      </w:pPr>
    </w:p>
    <w:p w14:paraId="434B400B" w14:textId="77777777" w:rsidR="00457DF2" w:rsidRPr="00C14042" w:rsidRDefault="00457DF2" w:rsidP="00457DF2">
      <w:pPr>
        <w:jc w:val="both"/>
        <w:rPr>
          <w:rFonts w:ascii="Times" w:hAnsi="Times" w:cs="Times"/>
          <w:b/>
        </w:rPr>
      </w:pPr>
      <w:bookmarkStart w:id="18" w:name="_Hlk220149220"/>
      <w:r w:rsidRPr="00C14042">
        <w:rPr>
          <w:rFonts w:ascii="Times" w:hAnsi="Times" w:cs="Times"/>
          <w:b/>
        </w:rPr>
        <w:lastRenderedPageBreak/>
        <w:t>Estimated Real Estate Tax Collection Assumptions &amp; New Tax Laws</w:t>
      </w:r>
    </w:p>
    <w:p w14:paraId="38E4C575" w14:textId="77777777" w:rsidR="00457DF2" w:rsidRDefault="00457DF2" w:rsidP="00457DF2">
      <w:pPr>
        <w:rPr>
          <w:rFonts w:ascii="Times" w:hAnsi="Times" w:cs="Times"/>
        </w:rPr>
      </w:pPr>
    </w:p>
    <w:p w14:paraId="585D13EC" w14:textId="0DBCD577" w:rsidR="00414BD3" w:rsidRPr="0087244B" w:rsidRDefault="00414BD3" w:rsidP="007C2CF0">
      <w:pPr>
        <w:rPr>
          <w:bCs/>
        </w:rPr>
      </w:pPr>
      <w:r w:rsidRPr="0087244B">
        <w:rPr>
          <w:bCs/>
        </w:rPr>
        <w:t xml:space="preserve">HB96 enacted a new provision called “Piggyback Property Tax Exemptions”. This provision allows county commissioners in each county in Ohio to double the current Homestead Exemption and owner occupied 2.5% tax credit.  </w:t>
      </w:r>
      <w:r>
        <w:rPr>
          <w:bCs/>
        </w:rPr>
        <w:t xml:space="preserve">Richland </w:t>
      </w:r>
      <w:r w:rsidRPr="0087244B">
        <w:rPr>
          <w:bCs/>
        </w:rPr>
        <w:t xml:space="preserve">County Commissioners approved the Piggyback exemption for owner occupied credit for tax year 2025 </w:t>
      </w:r>
      <w:r w:rsidR="009C0175">
        <w:rPr>
          <w:bCs/>
        </w:rPr>
        <w:t>and tax year 2026</w:t>
      </w:r>
      <w:r w:rsidRPr="0087244B">
        <w:rPr>
          <w:bCs/>
        </w:rPr>
        <w:t>.  This will result in estimated tax reductions for FY26 and FY27</w:t>
      </w:r>
      <w:r w:rsidR="009C0175">
        <w:rPr>
          <w:bCs/>
        </w:rPr>
        <w:t xml:space="preserve">. </w:t>
      </w:r>
      <w:r w:rsidRPr="0087244B">
        <w:rPr>
          <w:bCs/>
        </w:rPr>
        <w:t xml:space="preserve">County commissioners have until </w:t>
      </w:r>
      <w:r w:rsidR="009C0175">
        <w:rPr>
          <w:bCs/>
        </w:rPr>
        <w:t>July 1, of every year</w:t>
      </w:r>
      <w:r w:rsidRPr="0087244B">
        <w:rPr>
          <w:bCs/>
        </w:rPr>
        <w:t xml:space="preserve"> to implement this tax credit for tax year</w:t>
      </w:r>
      <w:r w:rsidR="009C0175">
        <w:rPr>
          <w:bCs/>
        </w:rPr>
        <w:t xml:space="preserve">. </w:t>
      </w:r>
      <w:r w:rsidRPr="0087244B">
        <w:rPr>
          <w:bCs/>
        </w:rPr>
        <w:t xml:space="preserve"> We will adjust the forecast in the future accordingly</w:t>
      </w:r>
      <w:r w:rsidR="009C0175">
        <w:rPr>
          <w:bCs/>
        </w:rPr>
        <w:t>.</w:t>
      </w:r>
    </w:p>
    <w:p w14:paraId="005B2FB4" w14:textId="77777777" w:rsidR="00457DF2" w:rsidRDefault="00457DF2" w:rsidP="007C2CF0">
      <w:pPr>
        <w:contextualSpacing/>
        <w:rPr>
          <w:highlight w:val="lightGray"/>
        </w:rPr>
      </w:pPr>
    </w:p>
    <w:p w14:paraId="34F4DFE1" w14:textId="78B137B6" w:rsidR="009C0175" w:rsidRDefault="009C0175" w:rsidP="007C2CF0">
      <w:pPr>
        <w:contextualSpacing/>
      </w:pPr>
      <w:r w:rsidRPr="009C0175">
        <w:t xml:space="preserve">HB186 is a new law that establishes an Inflation Cap Credit for school district property taxes, preventing increases beyond the Gross Domestic Product Deflation Factor (GDP DF) in reappraisal and triennial updates.  HB186 also includes Temporary Tax Credits (claw back) provision that retroactively takes back property tax revenue that has already been collected. For impacted districts this starts with their reappraisal or triennial updates in tax years 2023, 2024 and 2025.  These funds have already been realized and have been spent and/or included in future educational planning.  </w:t>
      </w:r>
    </w:p>
    <w:p w14:paraId="140BE20E" w14:textId="77777777" w:rsidR="009C0175" w:rsidRPr="00457DF2" w:rsidRDefault="009C0175" w:rsidP="007C2CF0">
      <w:pPr>
        <w:contextualSpacing/>
        <w:rPr>
          <w:highlight w:val="lightGray"/>
        </w:rPr>
      </w:pPr>
    </w:p>
    <w:bookmarkEnd w:id="18"/>
    <w:p w14:paraId="610E358E" w14:textId="5AFE6723" w:rsidR="00D4625A" w:rsidRPr="00D4625A" w:rsidRDefault="00D4625A" w:rsidP="00D4625A">
      <w:pPr>
        <w:rPr>
          <w:rFonts w:ascii="Times" w:hAnsi="Times"/>
          <w:bCs/>
        </w:rPr>
      </w:pPr>
      <w:r w:rsidRPr="00D4625A">
        <w:rPr>
          <w:rFonts w:ascii="Times" w:hAnsi="Times"/>
          <w:bCs/>
        </w:rPr>
        <w:t xml:space="preserve">Our district is anticipating a negative </w:t>
      </w:r>
      <w:r w:rsidR="009C0175" w:rsidRPr="00D4625A">
        <w:rPr>
          <w:rFonts w:ascii="Times" w:hAnsi="Times"/>
          <w:bCs/>
        </w:rPr>
        <w:t>claw back</w:t>
      </w:r>
      <w:r w:rsidRPr="00D4625A">
        <w:rPr>
          <w:rFonts w:ascii="Times" w:hAnsi="Times"/>
          <w:bCs/>
        </w:rPr>
        <w:t xml:space="preserve"> impact to our forecast due to HB186. We are anticipating adjustments noted on the table below for Line 1.01. This is based on recently obtained Department of Tax Equalization (DTE) Form 186 amounts and DTE HB186 Certified Tax Credit Factors. For planning purposes, we believe this is likely the worst-case scenario removing additional revenue of $</w:t>
      </w:r>
      <w:r>
        <w:rPr>
          <w:rFonts w:ascii="Times" w:hAnsi="Times"/>
          <w:bCs/>
        </w:rPr>
        <w:t>706,723</w:t>
      </w:r>
      <w:r w:rsidRPr="00D4625A">
        <w:rPr>
          <w:rFonts w:ascii="Times" w:hAnsi="Times"/>
          <w:bCs/>
        </w:rPr>
        <w:t xml:space="preserve"> through FY31, but final second half tax settlements will not be received before this forecast filing deadline. </w:t>
      </w:r>
    </w:p>
    <w:p w14:paraId="018D31E6" w14:textId="77777777" w:rsidR="00414BD3" w:rsidRDefault="00414BD3" w:rsidP="007C2CF0">
      <w:pPr>
        <w:rPr>
          <w:rFonts w:ascii="Times" w:hAnsi="Times"/>
          <w:bCs/>
        </w:rPr>
      </w:pPr>
    </w:p>
    <w:p w14:paraId="20C00705" w14:textId="4FE528BD" w:rsidR="00414BD3" w:rsidRDefault="00414BD3" w:rsidP="007C2CF0">
      <w:pPr>
        <w:rPr>
          <w:rFonts w:ascii="Times" w:hAnsi="Times"/>
          <w:bCs/>
        </w:rPr>
      </w:pPr>
      <w:r w:rsidRPr="00DA5FFC">
        <w:rPr>
          <w:rFonts w:ascii="Times" w:hAnsi="Times"/>
          <w:bCs/>
        </w:rPr>
        <w:t xml:space="preserve">HB335 is a new law that limits revenue growth from inside millage due to valuation reappraisals or triennial updates to the Gross Domestic Product Deflation Factor (GDP DF) for future real estate tax revenue growth.  We have not forecasted any increases for future </w:t>
      </w:r>
      <w:r w:rsidR="00D4625A">
        <w:rPr>
          <w:rFonts w:ascii="Times" w:hAnsi="Times"/>
          <w:bCs/>
        </w:rPr>
        <w:t>revaluations</w:t>
      </w:r>
      <w:r w:rsidRPr="00DA5FFC">
        <w:rPr>
          <w:rFonts w:ascii="Times" w:hAnsi="Times"/>
          <w:bCs/>
        </w:rPr>
        <w:t xml:space="preserve"> above anticipated GDP DF, thus no adverse impact to the forecasted property tax revenue is anticipated from this new law.  </w:t>
      </w:r>
    </w:p>
    <w:p w14:paraId="01DA02B8" w14:textId="77777777" w:rsidR="00414BD3" w:rsidRDefault="00414BD3" w:rsidP="007C2CF0">
      <w:pPr>
        <w:rPr>
          <w:rFonts w:ascii="Times" w:hAnsi="Times"/>
          <w:bCs/>
        </w:rPr>
      </w:pPr>
    </w:p>
    <w:p w14:paraId="23A6F8CB" w14:textId="77777777" w:rsidR="00414BD3" w:rsidRDefault="00414BD3" w:rsidP="007C2CF0">
      <w:pPr>
        <w:rPr>
          <w:rFonts w:ascii="Times" w:hAnsi="Times"/>
          <w:bCs/>
        </w:rPr>
      </w:pPr>
      <w:r w:rsidRPr="00DA5FFC">
        <w:rPr>
          <w:rFonts w:ascii="Times" w:hAnsi="Times"/>
          <w:bCs/>
        </w:rPr>
        <w:t>We have been conservative with any future value increases for reappraisal or updates due to implementation uncertainty over the new legislative changes as noted in the Forecast Risks and Uncertainty above.</w:t>
      </w:r>
    </w:p>
    <w:p w14:paraId="2331BEE6" w14:textId="77777777" w:rsidR="00121A30" w:rsidRPr="006F4A0B" w:rsidRDefault="00121A30">
      <w:pPr>
        <w:rPr>
          <w:rFonts w:ascii="Times" w:hAnsi="Times"/>
          <w:bCs/>
        </w:rPr>
      </w:pPr>
    </w:p>
    <w:p w14:paraId="690D18B5" w14:textId="77777777" w:rsidR="00002D23" w:rsidRDefault="0082735A">
      <w:pPr>
        <w:rPr>
          <w:b/>
        </w:rPr>
      </w:pPr>
      <w:r w:rsidRPr="0096591C">
        <w:rPr>
          <w:b/>
        </w:rPr>
        <w:t>Estimated Real Estate Tax</w:t>
      </w:r>
      <w:r w:rsidR="00002D23" w:rsidRPr="0096591C">
        <w:rPr>
          <w:b/>
        </w:rPr>
        <w:t xml:space="preserve"> (Line #1.010)</w:t>
      </w:r>
    </w:p>
    <w:p w14:paraId="391A247D" w14:textId="14434916" w:rsidR="00457DF2" w:rsidRPr="007D7FE8" w:rsidRDefault="00090F3C" w:rsidP="00457DF2">
      <w:pPr>
        <w:rPr>
          <w:sz w:val="22"/>
          <w:szCs w:val="22"/>
        </w:rPr>
      </w:pPr>
      <w:r w:rsidRPr="001263CE">
        <w:rPr>
          <w:rFonts w:ascii="Times" w:hAnsi="Times"/>
        </w:rPr>
        <w:t xml:space="preserve">Property tax levies are estimated to be collected at 95% of the annual amount. This allows a 5% delinquency factor. In general, 56.50% of the Res/Ag and Comm/Ind property taxes are expected to be collected in the February tax settlement and 43.50% in the August tax settlement. </w:t>
      </w:r>
    </w:p>
    <w:p w14:paraId="59FCB310" w14:textId="77777777" w:rsidR="00090F3C" w:rsidRPr="0096591C" w:rsidRDefault="00090F3C">
      <w:pPr>
        <w:rPr>
          <w:b/>
        </w:rPr>
      </w:pPr>
    </w:p>
    <w:p w14:paraId="3861BD17" w14:textId="426392B3" w:rsidR="0064214E" w:rsidRDefault="007C2CF0" w:rsidP="00DB7E06">
      <w:r>
        <w:object w:dxaOrig="13260" w:dyaOrig="1515" w14:anchorId="1203CBC9">
          <v:shape id="_x0000_i1028" type="#_x0000_t75" style="width:540pt;height:75.75pt" o:ole="">
            <v:imagedata r:id="rId16" o:title=""/>
          </v:shape>
          <o:OLEObject Type="Link" ProgID="Excel.Sheet.12" ShapeID="_x0000_i1028" DrawAspect="Content" r:id="rId17" UpdateMode="Always">
            <o:LinkType>EnhancedMetaFile</o:LinkType>
            <o:LockedField>false</o:LockedField>
          </o:OLEObject>
        </w:object>
      </w:r>
    </w:p>
    <w:p w14:paraId="638E6A4D" w14:textId="77777777" w:rsidR="00707278" w:rsidRPr="007502CF" w:rsidRDefault="00707278" w:rsidP="00DB7E06"/>
    <w:p w14:paraId="0DBE80C7" w14:textId="3EE0B242" w:rsidR="00D5513A" w:rsidRPr="00D5513A" w:rsidRDefault="00D5513A" w:rsidP="00DB7E06">
      <w:pPr>
        <w:rPr>
          <w:rFonts w:ascii="Times" w:hAnsi="Times"/>
          <w:b/>
        </w:rPr>
      </w:pPr>
      <w:r w:rsidRPr="00D5513A">
        <w:rPr>
          <w:rFonts w:ascii="Times" w:hAnsi="Times"/>
          <w:b/>
        </w:rPr>
        <w:t>Levy Renewal – Line</w:t>
      </w:r>
      <w:r w:rsidR="00D4625A">
        <w:rPr>
          <w:rFonts w:ascii="Times" w:hAnsi="Times"/>
          <w:b/>
        </w:rPr>
        <w:t xml:space="preserve"> </w:t>
      </w:r>
      <w:r w:rsidRPr="00D5513A">
        <w:rPr>
          <w:rFonts w:ascii="Times" w:hAnsi="Times"/>
          <w:b/>
        </w:rPr>
        <w:t>#11.02</w:t>
      </w:r>
    </w:p>
    <w:p w14:paraId="605F1CB2" w14:textId="7AE2C3CA" w:rsidR="00D5513A" w:rsidRDefault="00BF0B38" w:rsidP="00DB7E06">
      <w:pPr>
        <w:rPr>
          <w:rFonts w:ascii="Times" w:hAnsi="Times"/>
        </w:rPr>
      </w:pPr>
      <w:r>
        <w:rPr>
          <w:rFonts w:ascii="Times" w:hAnsi="Times"/>
        </w:rPr>
        <w:t xml:space="preserve">Residents renewed the 7.73 mill </w:t>
      </w:r>
      <w:r w:rsidR="00047DC8">
        <w:rPr>
          <w:rFonts w:ascii="Times" w:hAnsi="Times"/>
        </w:rPr>
        <w:t xml:space="preserve">operating levy that </w:t>
      </w:r>
      <w:r>
        <w:rPr>
          <w:rFonts w:ascii="Times" w:hAnsi="Times"/>
        </w:rPr>
        <w:t>was renewed for a fi</w:t>
      </w:r>
      <w:r w:rsidR="007569C5">
        <w:rPr>
          <w:rFonts w:ascii="Times" w:hAnsi="Times"/>
        </w:rPr>
        <w:t>ve (5) year period with the last collection ending in December 31, 20</w:t>
      </w:r>
      <w:r w:rsidR="00121A30">
        <w:rPr>
          <w:rFonts w:ascii="Times" w:hAnsi="Times"/>
        </w:rPr>
        <w:t>31</w:t>
      </w:r>
      <w:r w:rsidR="007569C5">
        <w:rPr>
          <w:rFonts w:ascii="Times" w:hAnsi="Times"/>
        </w:rPr>
        <w:t xml:space="preserve">. </w:t>
      </w:r>
      <w:r w:rsidR="00047DC8">
        <w:rPr>
          <w:rFonts w:ascii="Times" w:hAnsi="Times"/>
        </w:rPr>
        <w:t xml:space="preserve">Renewal levies </w:t>
      </w:r>
      <w:r w:rsidR="007569C5">
        <w:rPr>
          <w:rFonts w:ascii="Times" w:hAnsi="Times"/>
        </w:rPr>
        <w:t xml:space="preserve">do not increase taxes for the school district or cost </w:t>
      </w:r>
      <w:r w:rsidR="002B3AA1">
        <w:rPr>
          <w:rFonts w:ascii="Times" w:hAnsi="Times"/>
        </w:rPr>
        <w:t>resident’s</w:t>
      </w:r>
      <w:r w:rsidR="007569C5">
        <w:rPr>
          <w:rFonts w:ascii="Times" w:hAnsi="Times"/>
        </w:rPr>
        <w:t xml:space="preserve"> additional taxes.</w:t>
      </w:r>
    </w:p>
    <w:p w14:paraId="3BDCC0AA" w14:textId="77777777" w:rsidR="00480CBF" w:rsidRDefault="00480CBF"/>
    <w:p w14:paraId="0172504C" w14:textId="28008FF2" w:rsidR="0064214E" w:rsidRDefault="007C2CF0">
      <w:r>
        <w:object w:dxaOrig="13260" w:dyaOrig="615" w14:anchorId="02955918">
          <v:shape id="_x0000_i1029" type="#_x0000_t75" style="width:540pt;height:30.75pt" o:ole="">
            <v:imagedata r:id="rId18" o:title=""/>
          </v:shape>
          <o:OLEObject Type="Link" ProgID="Excel.Sheet.12" ShapeID="_x0000_i1029" DrawAspect="Content" r:id="rId19" UpdateMode="Always">
            <o:LinkType>EnhancedMetaFile</o:LinkType>
            <o:LockedField>false</o:LockedField>
          </o:OLEObject>
        </w:object>
      </w:r>
    </w:p>
    <w:p w14:paraId="63211E7E" w14:textId="77777777" w:rsidR="006D7558" w:rsidRPr="0096591C" w:rsidRDefault="006D7558"/>
    <w:p w14:paraId="089BB672" w14:textId="77777777" w:rsidR="00002D23" w:rsidRPr="0096591C" w:rsidRDefault="009468F1">
      <w:pPr>
        <w:rPr>
          <w:b/>
        </w:rPr>
      </w:pPr>
      <w:r w:rsidRPr="0096591C">
        <w:rPr>
          <w:b/>
        </w:rPr>
        <w:lastRenderedPageBreak/>
        <w:t>New Tax Levies – Line #13.030</w:t>
      </w:r>
    </w:p>
    <w:p w14:paraId="58B2F1C1" w14:textId="77777777" w:rsidR="00002D23" w:rsidRPr="0096591C" w:rsidRDefault="00002D23">
      <w:r w:rsidRPr="0096591C">
        <w:t xml:space="preserve">No new levies are modeled in this </w:t>
      </w:r>
      <w:r w:rsidR="00DF57DE" w:rsidRPr="0096591C">
        <w:t>forecast.</w:t>
      </w:r>
    </w:p>
    <w:p w14:paraId="63F157BF" w14:textId="77777777" w:rsidR="00901578" w:rsidRPr="0096591C" w:rsidRDefault="00901578"/>
    <w:p w14:paraId="3CC02409" w14:textId="77777777" w:rsidR="00002D23" w:rsidRPr="0096591C" w:rsidRDefault="00F40DFC">
      <w:pPr>
        <w:rPr>
          <w:b/>
        </w:rPr>
      </w:pPr>
      <w:r w:rsidRPr="007D652E">
        <w:rPr>
          <w:b/>
        </w:rPr>
        <w:t xml:space="preserve">Estimated Public Utility </w:t>
      </w:r>
      <w:r w:rsidR="00002D23" w:rsidRPr="007D652E">
        <w:rPr>
          <w:b/>
        </w:rPr>
        <w:t>Personal Tax – Line#1.020</w:t>
      </w:r>
    </w:p>
    <w:p w14:paraId="32334B75" w14:textId="7E1422DF" w:rsidR="001263CE" w:rsidRDefault="001263CE" w:rsidP="001263CE">
      <w:pPr>
        <w:rPr>
          <w:rFonts w:ascii="Times" w:hAnsi="Times"/>
        </w:rPr>
      </w:pPr>
      <w:r w:rsidRPr="00C952F7">
        <w:rPr>
          <w:rFonts w:ascii="Times" w:hAnsi="Times"/>
        </w:rPr>
        <w:t xml:space="preserve">The amounts below are </w:t>
      </w:r>
      <w:r w:rsidRPr="00121A30">
        <w:rPr>
          <w:rFonts w:ascii="Times" w:hAnsi="Times"/>
        </w:rPr>
        <w:t xml:space="preserve">public utility tangible personal property (PUPP) tax payments from public utilities. The values for PUPP </w:t>
      </w:r>
      <w:r w:rsidR="00A901D5" w:rsidRPr="00121A30">
        <w:rPr>
          <w:rFonts w:ascii="Times" w:hAnsi="Times"/>
        </w:rPr>
        <w:t xml:space="preserve">were </w:t>
      </w:r>
      <w:r w:rsidRPr="00121A30">
        <w:rPr>
          <w:rFonts w:ascii="Times" w:hAnsi="Times"/>
        </w:rPr>
        <w:t>$</w:t>
      </w:r>
      <w:r w:rsidR="00121A30" w:rsidRPr="00121A30">
        <w:rPr>
          <w:rFonts w:ascii="Times" w:hAnsi="Times"/>
        </w:rPr>
        <w:t>12.2</w:t>
      </w:r>
      <w:r w:rsidRPr="00121A30">
        <w:rPr>
          <w:rFonts w:ascii="Times" w:hAnsi="Times"/>
        </w:rPr>
        <w:t xml:space="preserve"> million in assessed values in 202</w:t>
      </w:r>
      <w:r w:rsidR="00121A30" w:rsidRPr="00121A30">
        <w:rPr>
          <w:rFonts w:ascii="Times" w:hAnsi="Times"/>
        </w:rPr>
        <w:t>5</w:t>
      </w:r>
      <w:r w:rsidRPr="00121A30">
        <w:rPr>
          <w:rFonts w:ascii="Times" w:hAnsi="Times"/>
        </w:rPr>
        <w:t xml:space="preserve"> and is collected at the district’s gross voted millage rate. Collections are typically 50% in March and 50% in August, along with the real estate settlements from the county auditor. The values in 202</w:t>
      </w:r>
      <w:r w:rsidR="00E132F9">
        <w:rPr>
          <w:rFonts w:ascii="Times" w:hAnsi="Times"/>
        </w:rPr>
        <w:t>5</w:t>
      </w:r>
      <w:r w:rsidRPr="00121A30">
        <w:rPr>
          <w:rFonts w:ascii="Times" w:hAnsi="Times"/>
        </w:rPr>
        <w:t xml:space="preserve"> rose by </w:t>
      </w:r>
      <w:r w:rsidR="00825045" w:rsidRPr="00121A30">
        <w:rPr>
          <w:rFonts w:ascii="Times" w:hAnsi="Times"/>
        </w:rPr>
        <w:t>$44</w:t>
      </w:r>
      <w:r w:rsidR="00E132F9">
        <w:rPr>
          <w:rFonts w:ascii="Times" w:hAnsi="Times"/>
        </w:rPr>
        <w:t>4,995</w:t>
      </w:r>
      <w:r w:rsidRPr="00121A30">
        <w:rPr>
          <w:rFonts w:ascii="Times" w:hAnsi="Times"/>
        </w:rPr>
        <w:t xml:space="preserve"> and ar</w:t>
      </w:r>
      <w:r w:rsidR="00C952F7" w:rsidRPr="00121A30">
        <w:rPr>
          <w:rFonts w:ascii="Times" w:hAnsi="Times"/>
        </w:rPr>
        <w:t>e expected to grow by $</w:t>
      </w:r>
      <w:r w:rsidR="00E132F9">
        <w:rPr>
          <w:rFonts w:ascii="Times" w:hAnsi="Times"/>
        </w:rPr>
        <w:t>500</w:t>
      </w:r>
      <w:r w:rsidR="00C952F7" w:rsidRPr="00121A30">
        <w:rPr>
          <w:rFonts w:ascii="Times" w:hAnsi="Times"/>
        </w:rPr>
        <w:t>,000</w:t>
      </w:r>
      <w:r w:rsidRPr="00121A30">
        <w:rPr>
          <w:rFonts w:ascii="Times" w:hAnsi="Times"/>
        </w:rPr>
        <w:t xml:space="preserve"> each year of the forecast.</w:t>
      </w:r>
      <w:r>
        <w:rPr>
          <w:rFonts w:ascii="Times" w:hAnsi="Times"/>
        </w:rPr>
        <w:t xml:space="preserve">  </w:t>
      </w:r>
    </w:p>
    <w:p w14:paraId="684EBA98" w14:textId="77777777" w:rsidR="00707278" w:rsidRPr="0096591C" w:rsidRDefault="00707278"/>
    <w:p w14:paraId="2ED6A638" w14:textId="0D85CF43" w:rsidR="0064214E" w:rsidRPr="0096591C" w:rsidRDefault="007C2CF0">
      <w:r>
        <w:object w:dxaOrig="13260" w:dyaOrig="645" w14:anchorId="380C79B4">
          <v:shape id="_x0000_i1030" type="#_x0000_t75" style="width:540pt;height:32.25pt" o:ole="">
            <v:imagedata r:id="rId20" o:title=""/>
          </v:shape>
          <o:OLEObject Type="Link" ProgID="Excel.Sheet.12" ShapeID="_x0000_i1030" DrawAspect="Content" r:id="rId21" UpdateMode="Always">
            <o:LinkType>EnhancedMetaFile</o:LinkType>
            <o:LockedField>false</o:LockedField>
          </o:OLEObject>
        </w:object>
      </w:r>
    </w:p>
    <w:p w14:paraId="0C19AAFC" w14:textId="77777777" w:rsidR="00A63BD4" w:rsidRDefault="00A63BD4" w:rsidP="007710EF">
      <w:pPr>
        <w:rPr>
          <w:b/>
        </w:rPr>
      </w:pPr>
    </w:p>
    <w:p w14:paraId="78BF7034" w14:textId="77777777" w:rsidR="00E132F9" w:rsidRPr="00E132F9" w:rsidRDefault="00E132F9" w:rsidP="00E132F9">
      <w:pPr>
        <w:rPr>
          <w:b/>
        </w:rPr>
      </w:pPr>
      <w:bookmarkStart w:id="19" w:name="_Hlk178880708"/>
      <w:r w:rsidRPr="00E132F9">
        <w:rPr>
          <w:b/>
        </w:rPr>
        <w:t>Current State Funding Model per HB96 through June 30, 2027</w:t>
      </w:r>
    </w:p>
    <w:bookmarkEnd w:id="19"/>
    <w:p w14:paraId="63408249" w14:textId="77777777" w:rsidR="00E132F9" w:rsidRPr="00E132F9" w:rsidRDefault="00E132F9" w:rsidP="00E132F9">
      <w:pPr>
        <w:rPr>
          <w:b/>
        </w:rPr>
      </w:pPr>
    </w:p>
    <w:p w14:paraId="3CD30D0D" w14:textId="77777777" w:rsidR="00E132F9" w:rsidRPr="00E132F9" w:rsidRDefault="00E132F9" w:rsidP="00E132F9">
      <w:pPr>
        <w:rPr>
          <w:b/>
        </w:rPr>
      </w:pPr>
      <w:r w:rsidRPr="00E132F9">
        <w:rPr>
          <w:b/>
        </w:rPr>
        <w:t xml:space="preserve">State Foundation Revenue Estimates </w:t>
      </w:r>
    </w:p>
    <w:p w14:paraId="64279324" w14:textId="77777777" w:rsidR="00220426" w:rsidRPr="0096591C" w:rsidRDefault="00220426" w:rsidP="007710EF">
      <w:pPr>
        <w:rPr>
          <w:b/>
        </w:rPr>
      </w:pPr>
    </w:p>
    <w:p w14:paraId="6EF23F66" w14:textId="77777777" w:rsidR="00825045" w:rsidRDefault="00DC2FC4" w:rsidP="00825045">
      <w:pPr>
        <w:numPr>
          <w:ilvl w:val="0"/>
          <w:numId w:val="14"/>
        </w:numPr>
        <w:ind w:left="360"/>
        <w:rPr>
          <w:b/>
        </w:rPr>
      </w:pPr>
      <w:r w:rsidRPr="0096591C">
        <w:rPr>
          <w:b/>
        </w:rPr>
        <w:t>Unrestricted State Foundation Revenue– Line #1.035</w:t>
      </w:r>
    </w:p>
    <w:p w14:paraId="70D54797" w14:textId="341FA9BE" w:rsidR="00825045" w:rsidRDefault="00825045" w:rsidP="00825045">
      <w:pPr>
        <w:rPr>
          <w:rFonts w:ascii="Times" w:hAnsi="Times" w:cs="Times"/>
        </w:rPr>
      </w:pPr>
      <w:r w:rsidRPr="00825045">
        <w:rPr>
          <w:rFonts w:ascii="Times" w:hAnsi="Times" w:cs="Times"/>
        </w:rPr>
        <w:t xml:space="preserve">HB96, the current state budget, continued the Fair School Funding Plan for </w:t>
      </w:r>
      <w:r w:rsidR="009C0175" w:rsidRPr="009C0175">
        <w:rPr>
          <w:rFonts w:ascii="Times" w:hAnsi="Times" w:cs="Times"/>
        </w:rPr>
        <w:t xml:space="preserve">FY27, which funds students where they are educated rather than where they live. We have projected FY27 funding based on the most current foundation settlement and funding factors.  </w:t>
      </w:r>
    </w:p>
    <w:p w14:paraId="7B0C7859" w14:textId="77777777" w:rsidR="009C0175" w:rsidRPr="00825045" w:rsidRDefault="009C0175" w:rsidP="00825045">
      <w:pPr>
        <w:rPr>
          <w:b/>
        </w:rPr>
      </w:pPr>
    </w:p>
    <w:p w14:paraId="30BF2DDE" w14:textId="0AAB0C45" w:rsidR="00825045" w:rsidRPr="00825045" w:rsidRDefault="00825045" w:rsidP="00825045">
      <w:pPr>
        <w:rPr>
          <w:rFonts w:ascii="Times" w:hAnsi="Times" w:cs="Times"/>
        </w:rPr>
      </w:pPr>
      <w:r w:rsidRPr="00825045">
        <w:rPr>
          <w:rFonts w:ascii="Times" w:hAnsi="Times" w:cs="Times"/>
        </w:rPr>
        <w:t>Our district is currently a formula district in FY2</w:t>
      </w:r>
      <w:r w:rsidR="009C0175">
        <w:rPr>
          <w:rFonts w:ascii="Times" w:hAnsi="Times" w:cs="Times"/>
        </w:rPr>
        <w:t>7</w:t>
      </w:r>
      <w:r w:rsidRPr="00825045">
        <w:rPr>
          <w:rFonts w:ascii="Times" w:hAnsi="Times" w:cs="Times"/>
        </w:rPr>
        <w:t xml:space="preserve"> and is expected to continue to be on the formula in FY2</w:t>
      </w:r>
      <w:r w:rsidR="009C0175">
        <w:rPr>
          <w:rFonts w:ascii="Times" w:hAnsi="Times" w:cs="Times"/>
        </w:rPr>
        <w:t>8</w:t>
      </w:r>
      <w:r w:rsidRPr="00825045">
        <w:rPr>
          <w:rFonts w:ascii="Times" w:hAnsi="Times" w:cs="Times"/>
        </w:rPr>
        <w:t>-FY3</w:t>
      </w:r>
      <w:r w:rsidR="009C0175">
        <w:rPr>
          <w:rFonts w:ascii="Times" w:hAnsi="Times" w:cs="Times"/>
        </w:rPr>
        <w:t>1</w:t>
      </w:r>
      <w:r w:rsidRPr="00825045">
        <w:rPr>
          <w:rFonts w:ascii="Times" w:hAnsi="Times" w:cs="Times"/>
        </w:rPr>
        <w:t xml:space="preserve"> on the new Fair School Funding Plan (FSFP). </w:t>
      </w:r>
    </w:p>
    <w:p w14:paraId="53956D9B" w14:textId="77777777" w:rsidR="00825045" w:rsidRPr="00825045" w:rsidRDefault="00825045" w:rsidP="00825045">
      <w:pPr>
        <w:rPr>
          <w:rFonts w:ascii="Times" w:hAnsi="Times" w:cs="Times"/>
        </w:rPr>
      </w:pPr>
    </w:p>
    <w:p w14:paraId="18FA4EE1" w14:textId="77777777" w:rsidR="00E132F9" w:rsidRPr="00E132F9" w:rsidRDefault="00E132F9" w:rsidP="00E132F9">
      <w:pPr>
        <w:spacing w:after="200"/>
        <w:contextualSpacing/>
        <w:rPr>
          <w:rFonts w:ascii="Times" w:hAnsi="Times" w:cs="Times"/>
        </w:rPr>
      </w:pPr>
      <w:bookmarkStart w:id="20" w:name="_Hlk235989172"/>
      <w:r w:rsidRPr="00E132F9">
        <w:rPr>
          <w:rFonts w:ascii="Times" w:hAnsi="Times" w:cs="Times"/>
        </w:rPr>
        <w:t xml:space="preserve">A detailed overview of how foundation funding is calculated including all of the HB96 changes is available at the link below.  Please visit the Ohio Department of Education and Workforce at:   </w:t>
      </w:r>
      <w:hyperlink r:id="rId22" w:history="1">
        <w:r w:rsidRPr="00E132F9">
          <w:rPr>
            <w:rStyle w:val="Hyperlink"/>
            <w:rFonts w:ascii="Times" w:hAnsi="Times" w:cs="Times"/>
          </w:rPr>
          <w:t>https://education.ohio.gov/Topics/Finance-and-Funding/Overview-of-School-Funding</w:t>
        </w:r>
      </w:hyperlink>
      <w:r w:rsidRPr="00E132F9">
        <w:rPr>
          <w:rFonts w:ascii="Times" w:hAnsi="Times" w:cs="Times"/>
          <w:u w:val="single"/>
        </w:rPr>
        <w:t>.</w:t>
      </w:r>
      <w:bookmarkEnd w:id="20"/>
    </w:p>
    <w:p w14:paraId="74B3BC78" w14:textId="77777777" w:rsidR="00E63042" w:rsidRPr="00121A30" w:rsidRDefault="00E63042" w:rsidP="00E63042">
      <w:pPr>
        <w:spacing w:after="200"/>
        <w:contextualSpacing/>
      </w:pPr>
    </w:p>
    <w:p w14:paraId="2E5236DE" w14:textId="085A1A49" w:rsidR="00E17161" w:rsidRPr="00121A30" w:rsidRDefault="00E17161" w:rsidP="00E17161">
      <w:pPr>
        <w:rPr>
          <w:rFonts w:ascii="Times" w:hAnsi="Times" w:cs="Times"/>
          <w:b/>
        </w:rPr>
      </w:pPr>
      <w:r w:rsidRPr="00121A30">
        <w:rPr>
          <w:rFonts w:ascii="Times" w:hAnsi="Times" w:cs="Times"/>
          <w:b/>
        </w:rPr>
        <w:t xml:space="preserve">State Funding </w:t>
      </w:r>
      <w:r w:rsidR="00825045" w:rsidRPr="00121A30">
        <w:rPr>
          <w:rFonts w:ascii="Times" w:hAnsi="Times" w:cs="Times"/>
          <w:b/>
        </w:rPr>
        <w:t>FY26-FY27</w:t>
      </w:r>
      <w:r w:rsidRPr="00121A30">
        <w:rPr>
          <w:rFonts w:ascii="Times" w:hAnsi="Times" w:cs="Times"/>
          <w:b/>
        </w:rPr>
        <w:t xml:space="preserve">  </w:t>
      </w:r>
    </w:p>
    <w:p w14:paraId="52D0D93A" w14:textId="3D538D79" w:rsidR="00825045" w:rsidRPr="00825045" w:rsidRDefault="00825045" w:rsidP="00825045">
      <w:pPr>
        <w:spacing w:after="200"/>
        <w:contextualSpacing/>
        <w:rPr>
          <w:rFonts w:ascii="Times" w:hAnsi="Times" w:cs="Times"/>
        </w:rPr>
      </w:pPr>
      <w:r w:rsidRPr="00121A30">
        <w:rPr>
          <w:rFonts w:ascii="Times" w:hAnsi="Times" w:cs="Times"/>
        </w:rPr>
        <w:t>The Fair School Funding Plan was presented as a six (6) year phase-in plan, the state legislature approved the final two (2) years of the funding plan in HB96 phasing in funding at 83.33% in FY26 and then 100% in FY27. However, the legislature did not increase the funding base inputs from FY25. In other words, the</w:t>
      </w:r>
      <w:r w:rsidRPr="00825045">
        <w:rPr>
          <w:rFonts w:ascii="Times" w:hAnsi="Times" w:cs="Times"/>
        </w:rPr>
        <w:t xml:space="preserve"> legislature did not increase funding in the foundation formula. They did increase transportation funding’s state share percentage to 45.83% in FY26, and 50% in FY27, which could increase funding, and; they added three (3) Supplemental Payments outside the formula: a Base Funding Supplement, Enrollment Growth Supplement and Performance Supplement.</w:t>
      </w:r>
    </w:p>
    <w:p w14:paraId="312A5B0A" w14:textId="77777777" w:rsidR="00825045" w:rsidRPr="00825045" w:rsidRDefault="00825045" w:rsidP="00825045">
      <w:pPr>
        <w:spacing w:after="200"/>
        <w:contextualSpacing/>
        <w:rPr>
          <w:rFonts w:ascii="Times" w:hAnsi="Times" w:cs="Times"/>
        </w:rPr>
      </w:pPr>
    </w:p>
    <w:p w14:paraId="40F367B9" w14:textId="77777777" w:rsidR="00825045" w:rsidRPr="00825045" w:rsidRDefault="00825045" w:rsidP="00825045">
      <w:pPr>
        <w:spacing w:after="200"/>
        <w:contextualSpacing/>
        <w:rPr>
          <w:rFonts w:ascii="Times" w:hAnsi="Times" w:cs="Times"/>
        </w:rPr>
      </w:pPr>
      <w:r w:rsidRPr="00825045">
        <w:rPr>
          <w:rFonts w:ascii="Times" w:hAnsi="Times" w:cs="Times"/>
        </w:rPr>
        <w:t>The Base Funding Supplement will be paid to all districts. The funding supplement per pupil is $27 in FY26 and $40 in FY27.</w:t>
      </w:r>
    </w:p>
    <w:p w14:paraId="54DEFCEC" w14:textId="77777777" w:rsidR="00825045" w:rsidRPr="007808D0" w:rsidRDefault="00825045" w:rsidP="00825045">
      <w:pPr>
        <w:spacing w:after="200"/>
        <w:contextualSpacing/>
        <w:rPr>
          <w:rFonts w:ascii="Times" w:hAnsi="Times" w:cs="Times"/>
          <w:highlight w:val="yellow"/>
        </w:rPr>
      </w:pPr>
    </w:p>
    <w:p w14:paraId="0999C5FA" w14:textId="26A3FD05" w:rsidR="00825045" w:rsidRPr="00121A30" w:rsidRDefault="00825045" w:rsidP="00825045">
      <w:pPr>
        <w:spacing w:after="200"/>
        <w:contextualSpacing/>
        <w:rPr>
          <w:rFonts w:ascii="Times" w:hAnsi="Times" w:cs="Times"/>
        </w:rPr>
      </w:pPr>
      <w:r w:rsidRPr="00825045">
        <w:rPr>
          <w:rFonts w:ascii="Times" w:hAnsi="Times" w:cs="Times"/>
        </w:rPr>
        <w:t xml:space="preserve">The Enrollment Growth Supplement is paid to eligible districts based on the current FY26 enrolled ADM multiplied by $225 per student, and in FY27 based on FY27 enrolled ADM multiplied by $250. To be eligible enrolled ADM growth between FY22 and FY25 must </w:t>
      </w:r>
      <w:r w:rsidRPr="00121A30">
        <w:rPr>
          <w:rFonts w:ascii="Times" w:hAnsi="Times" w:cs="Times"/>
        </w:rPr>
        <w:t>equal or exceed 5% growth, and FY27 enrolled ADM growth between FY23 and FY26 must equal or exceed 3%. Our district does not qualify for this payment.</w:t>
      </w:r>
    </w:p>
    <w:p w14:paraId="6B4CABEF" w14:textId="77777777" w:rsidR="00825045" w:rsidRPr="00121A30" w:rsidRDefault="00825045" w:rsidP="00825045">
      <w:pPr>
        <w:spacing w:after="200"/>
        <w:contextualSpacing/>
        <w:rPr>
          <w:rFonts w:ascii="Times" w:hAnsi="Times" w:cs="Times"/>
        </w:rPr>
      </w:pPr>
    </w:p>
    <w:p w14:paraId="5090979C" w14:textId="529DC1EF" w:rsidR="00707278" w:rsidRPr="00121A30" w:rsidRDefault="00825045" w:rsidP="00707278">
      <w:pPr>
        <w:spacing w:after="200"/>
        <w:contextualSpacing/>
        <w:rPr>
          <w:rFonts w:ascii="Times" w:hAnsi="Times" w:cs="Times"/>
        </w:rPr>
      </w:pPr>
      <w:r w:rsidRPr="00121A30">
        <w:rPr>
          <w:rFonts w:ascii="Times" w:hAnsi="Times" w:cs="Times"/>
        </w:rPr>
        <w:t xml:space="preserve">The Performance Supplement was included in HB96. The eligibility for the supplement payment uses data from the state report card for the 2024-2025 school year for FY26 and 2025-2026 school year for FY27; the payment will be a separate payment of $13 per pupil in FY26 and FY27. </w:t>
      </w:r>
      <w:r w:rsidR="00121A30" w:rsidRPr="00121A30">
        <w:rPr>
          <w:rFonts w:ascii="Times" w:hAnsi="Times" w:cs="Times"/>
        </w:rPr>
        <w:t>Our district does not qualify for this payment.</w:t>
      </w:r>
    </w:p>
    <w:p w14:paraId="26ABEC09" w14:textId="56151CB4" w:rsidR="00825045" w:rsidRPr="00121A30" w:rsidRDefault="00825045" w:rsidP="00825045">
      <w:pPr>
        <w:spacing w:after="200"/>
        <w:contextualSpacing/>
        <w:rPr>
          <w:rFonts w:ascii="Times" w:hAnsi="Times" w:cs="Times"/>
        </w:rPr>
      </w:pPr>
    </w:p>
    <w:p w14:paraId="2C8AEA77" w14:textId="5CC5DFA9" w:rsidR="00825045" w:rsidRPr="00121A30" w:rsidRDefault="00825045" w:rsidP="00825045">
      <w:pPr>
        <w:spacing w:after="200"/>
        <w:contextualSpacing/>
        <w:rPr>
          <w:rFonts w:ascii="Times" w:hAnsi="Times" w:cs="Times"/>
        </w:rPr>
      </w:pPr>
      <w:r w:rsidRPr="00121A30">
        <w:rPr>
          <w:rFonts w:ascii="Times" w:hAnsi="Times" w:cs="Times"/>
        </w:rPr>
        <w:t>The funding formula eliminated the Supplemental Targeted Assistance guarantee beginning in FY26, but still includes two (2) primary guarantees: 1) Temporary Transition Aid, and 2) Formula Transition Supplement. The two (2) guarantees in both temporary and permanent law ensure that no district will get fewer funds in FY26 and FY27 than they received in FY21.</w:t>
      </w:r>
      <w:r w:rsidR="00707278" w:rsidRPr="00121A30">
        <w:rPr>
          <w:rFonts w:ascii="Times" w:hAnsi="Times" w:cs="Times"/>
        </w:rPr>
        <w:t xml:space="preserve"> We </w:t>
      </w:r>
      <w:r w:rsidR="00121A30" w:rsidRPr="00121A30">
        <w:rPr>
          <w:rFonts w:ascii="Times" w:hAnsi="Times" w:cs="Times"/>
        </w:rPr>
        <w:t>are</w:t>
      </w:r>
      <w:r w:rsidR="00BA0E27">
        <w:rPr>
          <w:rFonts w:ascii="Times" w:hAnsi="Times" w:cs="Times"/>
        </w:rPr>
        <w:t xml:space="preserve"> a formula district</w:t>
      </w:r>
      <w:r w:rsidR="00121A30" w:rsidRPr="00121A30">
        <w:rPr>
          <w:rFonts w:ascii="Times" w:hAnsi="Times" w:cs="Times"/>
        </w:rPr>
        <w:t xml:space="preserve"> in FY2</w:t>
      </w:r>
      <w:r w:rsidR="00E132F9">
        <w:rPr>
          <w:rFonts w:ascii="Times" w:hAnsi="Times" w:cs="Times"/>
        </w:rPr>
        <w:t>7</w:t>
      </w:r>
      <w:r w:rsidR="00121A30" w:rsidRPr="00121A30">
        <w:rPr>
          <w:rFonts w:ascii="Times" w:hAnsi="Times" w:cs="Times"/>
        </w:rPr>
        <w:t>.</w:t>
      </w:r>
    </w:p>
    <w:p w14:paraId="68519EDC" w14:textId="77777777" w:rsidR="00825045" w:rsidRPr="00121A30" w:rsidRDefault="00825045" w:rsidP="00825045">
      <w:pPr>
        <w:spacing w:after="200"/>
        <w:contextualSpacing/>
        <w:rPr>
          <w:rFonts w:ascii="Times" w:hAnsi="Times" w:cs="Times"/>
        </w:rPr>
      </w:pPr>
    </w:p>
    <w:p w14:paraId="266A0D1A" w14:textId="12740229" w:rsidR="00B7718E" w:rsidRPr="00A901D5" w:rsidRDefault="00825045" w:rsidP="00A901D5">
      <w:pPr>
        <w:spacing w:after="200"/>
        <w:contextualSpacing/>
        <w:rPr>
          <w:rFonts w:ascii="Times" w:hAnsi="Times" w:cs="Times"/>
        </w:rPr>
      </w:pPr>
      <w:r w:rsidRPr="00121A30">
        <w:rPr>
          <w:rFonts w:ascii="Times" w:hAnsi="Times" w:cs="Times"/>
        </w:rPr>
        <w:t>Our district is one of the 36 districts who received Supplemental Targeted Assistance. The funding source was eliminated as part of HB96. Our district will lose $</w:t>
      </w:r>
      <w:r w:rsidR="00A901D5" w:rsidRPr="00121A30">
        <w:rPr>
          <w:rFonts w:ascii="Times" w:hAnsi="Times" w:cs="Times"/>
        </w:rPr>
        <w:t>131,136</w:t>
      </w:r>
      <w:r w:rsidRPr="00121A30">
        <w:rPr>
          <w:rFonts w:ascii="Times" w:hAnsi="Times" w:cs="Times"/>
        </w:rPr>
        <w:t xml:space="preserve"> as a result of this elimination during the biennial budget process.</w:t>
      </w:r>
      <w:r>
        <w:rPr>
          <w:rFonts w:ascii="Times" w:hAnsi="Times" w:cs="Times"/>
        </w:rPr>
        <w:t xml:space="preserve"> </w:t>
      </w:r>
    </w:p>
    <w:p w14:paraId="166A0090" w14:textId="77777777" w:rsidR="00707278" w:rsidRDefault="00707278" w:rsidP="00E17161">
      <w:pPr>
        <w:rPr>
          <w:rFonts w:ascii="Times" w:hAnsi="Times" w:cs="Times"/>
          <w:b/>
        </w:rPr>
      </w:pPr>
    </w:p>
    <w:p w14:paraId="4D85724A" w14:textId="4D2EC5E0" w:rsidR="00E17161" w:rsidRPr="004F61F1" w:rsidRDefault="00E17161" w:rsidP="00E17161">
      <w:pPr>
        <w:rPr>
          <w:rFonts w:ascii="Times" w:hAnsi="Times" w:cs="Times"/>
          <w:b/>
        </w:rPr>
      </w:pPr>
      <w:r w:rsidRPr="004F61F1">
        <w:rPr>
          <w:rFonts w:ascii="Times" w:hAnsi="Times" w:cs="Times"/>
          <w:b/>
        </w:rPr>
        <w:t>Future State Budget Projections beyond FY2</w:t>
      </w:r>
      <w:r w:rsidR="00825045">
        <w:rPr>
          <w:rFonts w:ascii="Times" w:hAnsi="Times" w:cs="Times"/>
          <w:b/>
        </w:rPr>
        <w:t>7</w:t>
      </w:r>
    </w:p>
    <w:p w14:paraId="65111777" w14:textId="6633B3F0" w:rsidR="00825045" w:rsidRPr="004C5A7E" w:rsidRDefault="00825045" w:rsidP="00825045">
      <w:pPr>
        <w:rPr>
          <w:rFonts w:ascii="Times" w:hAnsi="Times" w:cs="Times"/>
          <w:bCs/>
        </w:rPr>
      </w:pPr>
      <w:r w:rsidRPr="00825045">
        <w:rPr>
          <w:rFonts w:ascii="Times" w:hAnsi="Times" w:cs="Times"/>
          <w:bCs/>
        </w:rPr>
        <w:t xml:space="preserve">Our funding status for FY28-FY31 will depend on unknown two (2) new state budgets. </w:t>
      </w:r>
      <w:bookmarkStart w:id="21" w:name="_Hlk207358139"/>
      <w:r w:rsidRPr="00825045">
        <w:rPr>
          <w:rFonts w:ascii="Times" w:hAnsi="Times" w:cs="Times"/>
          <w:bCs/>
        </w:rPr>
        <w:t>There is no guarantee that the current Fair School Funding Plan will be continued in future biennial budget processes; therefore, our state funding estimates are reasonable, and we will adjust the forecast when we have authoritative date to work with. For this reason, funding is held constant in the forecast for FY28 through FY3</w:t>
      </w:r>
      <w:r w:rsidR="007446E1">
        <w:rPr>
          <w:rFonts w:ascii="Times" w:hAnsi="Times" w:cs="Times"/>
          <w:bCs/>
        </w:rPr>
        <w:t>1</w:t>
      </w:r>
      <w:r w:rsidRPr="00825045">
        <w:rPr>
          <w:rFonts w:ascii="Times" w:hAnsi="Times" w:cs="Times"/>
          <w:bCs/>
        </w:rPr>
        <w:t>.</w:t>
      </w:r>
      <w:bookmarkEnd w:id="21"/>
    </w:p>
    <w:p w14:paraId="72E3CBEF" w14:textId="77777777" w:rsidR="001C3D88" w:rsidRDefault="001C3D88" w:rsidP="007710EF"/>
    <w:p w14:paraId="28138CCE" w14:textId="77777777" w:rsidR="006A5CA7" w:rsidRPr="004F61F1" w:rsidRDefault="006A5CA7" w:rsidP="006A5CA7">
      <w:pPr>
        <w:pStyle w:val="BodyText"/>
        <w:ind w:left="0" w:right="336"/>
        <w:rPr>
          <w:rFonts w:ascii="Times" w:hAnsi="Times" w:cs="Times"/>
          <w:b/>
          <w:spacing w:val="-1"/>
        </w:rPr>
      </w:pPr>
      <w:r w:rsidRPr="004F61F1">
        <w:rPr>
          <w:rFonts w:ascii="Times" w:hAnsi="Times" w:cs="Times"/>
          <w:b/>
          <w:spacing w:val="-1"/>
        </w:rPr>
        <w:t>Casino Revenue</w:t>
      </w:r>
    </w:p>
    <w:p w14:paraId="35D232B4" w14:textId="77777777" w:rsidR="006B19C8" w:rsidRPr="00B84F89" w:rsidRDefault="006B19C8" w:rsidP="006B19C8">
      <w:pPr>
        <w:pStyle w:val="BodyText"/>
        <w:ind w:left="0" w:right="336"/>
        <w:rPr>
          <w:rFonts w:ascii="Times" w:hAnsi="Times" w:cs="Times"/>
          <w:spacing w:val="-1"/>
        </w:rPr>
      </w:pPr>
      <w:r w:rsidRPr="004F61F1">
        <w:rPr>
          <w:rFonts w:ascii="Times" w:hAnsi="Times" w:cs="Times"/>
          <w:spacing w:val="-1"/>
        </w:rPr>
        <w:t>On November 3, 2009</w:t>
      </w:r>
      <w:r>
        <w:rPr>
          <w:rFonts w:ascii="Times" w:hAnsi="Times" w:cs="Times"/>
          <w:spacing w:val="-1"/>
        </w:rPr>
        <w:t>,</w:t>
      </w:r>
      <w:r w:rsidRPr="004F61F1">
        <w:rPr>
          <w:rFonts w:ascii="Times" w:hAnsi="Times" w:cs="Times"/>
          <w:spacing w:val="-1"/>
        </w:rPr>
        <w:t xml:space="preserve"> Ohio voters passed the Ohio casino ballot issue. This issue allowed </w:t>
      </w:r>
      <w:r>
        <w:rPr>
          <w:rFonts w:ascii="Times" w:hAnsi="Times" w:cs="Times"/>
          <w:spacing w:val="-1"/>
        </w:rPr>
        <w:t xml:space="preserve">four (4) casinos to open </w:t>
      </w:r>
      <w:r w:rsidRPr="004F61F1">
        <w:rPr>
          <w:rFonts w:ascii="Times" w:hAnsi="Times" w:cs="Times"/>
          <w:spacing w:val="-1"/>
        </w:rPr>
        <w:t>in Cleveland, Toledo, Columbus</w:t>
      </w:r>
      <w:r>
        <w:rPr>
          <w:rFonts w:ascii="Times" w:hAnsi="Times" w:cs="Times"/>
          <w:spacing w:val="-1"/>
        </w:rPr>
        <w:t>,</w:t>
      </w:r>
      <w:r w:rsidRPr="004F61F1">
        <w:rPr>
          <w:rFonts w:ascii="Times" w:hAnsi="Times" w:cs="Times"/>
          <w:spacing w:val="-1"/>
        </w:rPr>
        <w:t xml:space="preserve"> and Cincinnati. Thirty-three percent (33%) of the gross casino revenue will be collected as a tax. School districts will receive 34% of the 33% </w:t>
      </w:r>
      <w:r>
        <w:rPr>
          <w:rFonts w:ascii="Times" w:hAnsi="Times" w:cs="Times"/>
          <w:spacing w:val="-1"/>
        </w:rPr>
        <w:t>of Gross Casino Revenue</w:t>
      </w:r>
      <w:r w:rsidRPr="004F61F1">
        <w:rPr>
          <w:rFonts w:ascii="Times" w:hAnsi="Times" w:cs="Times"/>
          <w:spacing w:val="-1"/>
        </w:rPr>
        <w:t xml:space="preserve"> that will be paid into a student fund at the state level. These funds will be distributed to school districts on the 31</w:t>
      </w:r>
      <w:r w:rsidRPr="004F61F1">
        <w:rPr>
          <w:rFonts w:ascii="Times" w:hAnsi="Times" w:cs="Times"/>
          <w:spacing w:val="-1"/>
          <w:vertAlign w:val="superscript"/>
        </w:rPr>
        <w:t>st</w:t>
      </w:r>
      <w:r w:rsidRPr="004F61F1">
        <w:rPr>
          <w:rFonts w:ascii="Times" w:hAnsi="Times" w:cs="Times"/>
          <w:spacing w:val="-1"/>
        </w:rPr>
        <w:t xml:space="preserve"> of January and August each year</w:t>
      </w:r>
      <w:r>
        <w:rPr>
          <w:rFonts w:ascii="Times" w:hAnsi="Times" w:cs="Times"/>
          <w:spacing w:val="-1"/>
        </w:rPr>
        <w:t>, beginning</w:t>
      </w:r>
      <w:r w:rsidRPr="004F61F1">
        <w:rPr>
          <w:rFonts w:ascii="Times" w:hAnsi="Times" w:cs="Times"/>
          <w:spacing w:val="-1"/>
        </w:rPr>
        <w:t xml:space="preserve"> for the first time on January 31, 2013. </w:t>
      </w:r>
    </w:p>
    <w:p w14:paraId="5BEFEEC4" w14:textId="77777777" w:rsidR="006B19C8" w:rsidRDefault="006B19C8" w:rsidP="006B19C8">
      <w:pPr>
        <w:rPr>
          <w:rFonts w:ascii="Times" w:hAnsi="Times" w:cs="Times"/>
          <w:strike/>
        </w:rPr>
      </w:pPr>
    </w:p>
    <w:p w14:paraId="307059E6" w14:textId="77777777" w:rsidR="007446E1" w:rsidRPr="007446E1" w:rsidRDefault="007446E1" w:rsidP="007446E1">
      <w:pPr>
        <w:rPr>
          <w:rFonts w:ascii="Times" w:hAnsi="Times" w:cs="Times"/>
        </w:rPr>
      </w:pPr>
      <w:bookmarkStart w:id="22" w:name="_Hlk235989417"/>
      <w:r w:rsidRPr="007446E1">
        <w:rPr>
          <w:rFonts w:ascii="Times" w:hAnsi="Times" w:cs="Times"/>
        </w:rPr>
        <w:t>In FY26, the funding totaled $108.29 million or $68.14 per pupil. We expect the Casino revenues to have resumed their historical growth rate and are assuming a 1.5% annual growth rate for the remainder of the forecast.</w:t>
      </w:r>
      <w:bookmarkEnd w:id="22"/>
    </w:p>
    <w:p w14:paraId="671D3742" w14:textId="77777777" w:rsidR="00707278" w:rsidRDefault="00707278" w:rsidP="00825045">
      <w:pPr>
        <w:rPr>
          <w:rFonts w:ascii="Times" w:hAnsi="Times" w:cs="Times"/>
        </w:rPr>
      </w:pPr>
    </w:p>
    <w:p w14:paraId="5D41A803" w14:textId="24351751" w:rsidR="0064214E" w:rsidRPr="0096591C" w:rsidRDefault="007C2CF0" w:rsidP="00E7453A">
      <w:pPr>
        <w:ind w:left="60"/>
      </w:pPr>
      <w:r>
        <w:object w:dxaOrig="13260" w:dyaOrig="1860" w14:anchorId="77FB1D2F">
          <v:shape id="_x0000_i1031" type="#_x0000_t75" style="width:537pt;height:93pt" o:ole="">
            <v:imagedata r:id="rId23" o:title=""/>
          </v:shape>
          <o:OLEObject Type="Link" ProgID="Excel.Sheet.12" ShapeID="_x0000_i1031" DrawAspect="Content" r:id="rId24" UpdateMode="Always">
            <o:LinkType>EnhancedMetaFile</o:LinkType>
            <o:LockedField>false</o:LockedField>
          </o:OLEObject>
        </w:object>
      </w:r>
    </w:p>
    <w:p w14:paraId="33DB1B4A" w14:textId="08B8B7E0" w:rsidR="00002D23" w:rsidRPr="0096591C" w:rsidRDefault="00002D23" w:rsidP="007A6373">
      <w:pPr>
        <w:numPr>
          <w:ilvl w:val="0"/>
          <w:numId w:val="1"/>
        </w:numPr>
        <w:tabs>
          <w:tab w:val="clear" w:pos="420"/>
          <w:tab w:val="num" w:pos="120"/>
        </w:tabs>
        <w:ind w:left="58" w:hanging="58"/>
        <w:rPr>
          <w:b/>
        </w:rPr>
      </w:pPr>
      <w:r w:rsidRPr="0096591C">
        <w:rPr>
          <w:b/>
        </w:rPr>
        <w:t>Restricted State Revenues – Line #1.040</w:t>
      </w:r>
    </w:p>
    <w:p w14:paraId="1B75C769" w14:textId="5F025CA6" w:rsidR="00707278" w:rsidRPr="00121A30" w:rsidRDefault="00825045" w:rsidP="00707278">
      <w:pPr>
        <w:rPr>
          <w:rFonts w:ascii="Times" w:hAnsi="Times"/>
        </w:rPr>
      </w:pPr>
      <w:bookmarkStart w:id="23" w:name="_Hlk179216855"/>
      <w:r w:rsidRPr="007538CE">
        <w:rPr>
          <w:rFonts w:ascii="Times" w:hAnsi="Times"/>
        </w:rPr>
        <w:t xml:space="preserve">HB96 has continued Disadvantaged Pupil Impact Aid, Career Technical, Gifted, English Learners (ESL), and </w:t>
      </w:r>
      <w:r w:rsidRPr="00121A30">
        <w:rPr>
          <w:rFonts w:ascii="Times" w:hAnsi="Times"/>
        </w:rPr>
        <w:t xml:space="preserve">Student Wellness funding. </w:t>
      </w:r>
      <w:bookmarkStart w:id="24" w:name="_Hlk220150697"/>
      <w:bookmarkStart w:id="25" w:name="_Hlk207620447"/>
    </w:p>
    <w:bookmarkEnd w:id="24"/>
    <w:p w14:paraId="173A9D4F" w14:textId="77777777" w:rsidR="00707278" w:rsidRPr="00121A30" w:rsidRDefault="00707278" w:rsidP="00825045">
      <w:pPr>
        <w:rPr>
          <w:rFonts w:ascii="Times" w:hAnsi="Times"/>
        </w:rPr>
      </w:pPr>
    </w:p>
    <w:p w14:paraId="70D25D02" w14:textId="78A9453C" w:rsidR="0064214E" w:rsidRPr="007538CE" w:rsidRDefault="00825045" w:rsidP="00825045">
      <w:pPr>
        <w:rPr>
          <w:rFonts w:ascii="Times" w:hAnsi="Times"/>
        </w:rPr>
      </w:pPr>
      <w:r w:rsidRPr="00121A30">
        <w:rPr>
          <w:rFonts w:ascii="Times" w:hAnsi="Times"/>
        </w:rPr>
        <w:t xml:space="preserve">We have estimated revenues for these new restricted funding lines using the most current funding factors available. For fiscal years 2026 and 2027, HB96 modifies how DPIA is calculated by factoring in both directly certified and economically disadvantaged students. </w:t>
      </w:r>
      <w:bookmarkStart w:id="26" w:name="_Hlk220150751"/>
      <w:r w:rsidR="00707278" w:rsidRPr="00121A30">
        <w:rPr>
          <w:rFonts w:ascii="Times" w:hAnsi="Times"/>
        </w:rPr>
        <w:t>The new DPIA formula modified the weight given to these student groups over the biennium</w:t>
      </w:r>
      <w:bookmarkStart w:id="27" w:name="_Hlk207359049"/>
      <w:r w:rsidR="00707278" w:rsidRPr="00121A30">
        <w:rPr>
          <w:rFonts w:ascii="Times" w:hAnsi="Times"/>
        </w:rPr>
        <w:t xml:space="preserve"> which has resulted in calculated DPIA state funding in FY26 being $86.6 million less than in FY25.</w:t>
      </w:r>
      <w:r w:rsidR="00707278">
        <w:rPr>
          <w:rFonts w:ascii="Times" w:hAnsi="Times"/>
        </w:rPr>
        <w:t xml:space="preserve"> </w:t>
      </w:r>
      <w:bookmarkEnd w:id="27"/>
      <w:r w:rsidR="00707278">
        <w:rPr>
          <w:rFonts w:ascii="Times" w:hAnsi="Times"/>
        </w:rPr>
        <w:t xml:space="preserve"> </w:t>
      </w:r>
      <w:bookmarkEnd w:id="26"/>
    </w:p>
    <w:bookmarkEnd w:id="23"/>
    <w:bookmarkEnd w:id="25"/>
    <w:p w14:paraId="58502E49" w14:textId="153DCDA2" w:rsidR="007D652E" w:rsidRDefault="007C2CF0" w:rsidP="00F3503E">
      <w:pPr>
        <w:jc w:val="both"/>
        <w:rPr>
          <w:rFonts w:ascii="Times" w:hAnsi="Times"/>
        </w:rPr>
      </w:pPr>
      <w:r>
        <w:rPr>
          <w:rFonts w:ascii="Times" w:hAnsi="Times"/>
        </w:rPr>
        <w:object w:dxaOrig="13260" w:dyaOrig="2460" w14:anchorId="23AC58D2">
          <v:shape id="_x0000_i1032" type="#_x0000_t75" style="width:540pt;height:123pt" o:ole="">
            <v:imagedata r:id="rId25" o:title=""/>
          </v:shape>
          <o:OLEObject Type="Link" ProgID="Excel.Sheet.12" ShapeID="_x0000_i1032" DrawAspect="Content" r:id="rId26" UpdateMode="Always">
            <o:LinkType>EnhancedMetaFile</o:LinkType>
            <o:LockedField>false</o:LockedField>
          </o:OLEObject>
        </w:object>
      </w:r>
    </w:p>
    <w:p w14:paraId="0D53700D" w14:textId="77777777" w:rsidR="007502CF" w:rsidRPr="0096591C" w:rsidRDefault="007502CF" w:rsidP="00D54FAB">
      <w:pPr>
        <w:rPr>
          <w:b/>
        </w:rPr>
      </w:pPr>
    </w:p>
    <w:p w14:paraId="015CF171" w14:textId="4BFC72AB" w:rsidR="00002D23" w:rsidRPr="007446E1" w:rsidRDefault="007502CF" w:rsidP="007446E1">
      <w:pPr>
        <w:numPr>
          <w:ilvl w:val="0"/>
          <w:numId w:val="1"/>
        </w:numPr>
        <w:ind w:left="360"/>
        <w:rPr>
          <w:b/>
        </w:rPr>
      </w:pPr>
      <w:r w:rsidRPr="0096591C">
        <w:rPr>
          <w:b/>
        </w:rPr>
        <w:t>Restricted Federal</w:t>
      </w:r>
      <w:r w:rsidR="00002D23" w:rsidRPr="0096591C">
        <w:rPr>
          <w:b/>
        </w:rPr>
        <w:t xml:space="preserve"> Grants in Aid – </w:t>
      </w:r>
      <w:r w:rsidR="007446E1">
        <w:rPr>
          <w:b/>
        </w:rPr>
        <w:t>L</w:t>
      </w:r>
      <w:r w:rsidR="00002D23" w:rsidRPr="007446E1">
        <w:rPr>
          <w:b/>
        </w:rPr>
        <w:t>ine #1.045</w:t>
      </w:r>
    </w:p>
    <w:p w14:paraId="5A9D76CB" w14:textId="1CA47FAD" w:rsidR="000D7B37" w:rsidRDefault="00F3503E" w:rsidP="000D7B37">
      <w:pPr>
        <w:rPr>
          <w:rFonts w:ascii="Times" w:hAnsi="Times"/>
        </w:rPr>
      </w:pPr>
      <w:r w:rsidRPr="00F3503E">
        <w:rPr>
          <w:rFonts w:ascii="Times" w:hAnsi="Times"/>
        </w:rPr>
        <w:t xml:space="preserve">There are no federal restricted grants projected during this forecast. </w:t>
      </w:r>
    </w:p>
    <w:p w14:paraId="6DC2D514" w14:textId="77777777" w:rsidR="0064214E" w:rsidRPr="000D7B37" w:rsidRDefault="0064214E" w:rsidP="000D7B37">
      <w:pPr>
        <w:rPr>
          <w:rFonts w:ascii="Times" w:hAnsi="Times"/>
        </w:rPr>
      </w:pPr>
    </w:p>
    <w:p w14:paraId="3D840378" w14:textId="3006594B" w:rsidR="0064214E" w:rsidRDefault="007C2CF0" w:rsidP="006227E4">
      <w:r>
        <w:object w:dxaOrig="13260" w:dyaOrig="1560" w14:anchorId="4EE417E3">
          <v:shape id="_x0000_i1033" type="#_x0000_t75" style="width:540pt;height:78pt" o:ole="">
            <v:imagedata r:id="rId27" o:title=""/>
          </v:shape>
          <o:OLEObject Type="Link" ProgID="Excel.Sheet.12" ShapeID="_x0000_i1033" DrawAspect="Content" r:id="rId28" UpdateMode="Always">
            <o:LinkType>EnhancedMetaFile</o:LinkType>
            <o:LockedField>false</o:LockedField>
          </o:OLEObject>
        </w:object>
      </w:r>
    </w:p>
    <w:p w14:paraId="3CD32D7A" w14:textId="77777777" w:rsidR="007502CF" w:rsidRPr="006371A5" w:rsidRDefault="007502CF" w:rsidP="006227E4"/>
    <w:p w14:paraId="1E0A9E03" w14:textId="77777777" w:rsidR="006B19C8" w:rsidRDefault="006B19C8" w:rsidP="006B19C8">
      <w:pPr>
        <w:rPr>
          <w:rFonts w:ascii="Times" w:hAnsi="Times"/>
          <w:b/>
        </w:rPr>
      </w:pPr>
      <w:r w:rsidRPr="006B19C8">
        <w:rPr>
          <w:rFonts w:ascii="Times" w:hAnsi="Times"/>
          <w:b/>
        </w:rPr>
        <w:t>State Share of Local Property Tax – Line #1.050</w:t>
      </w:r>
    </w:p>
    <w:p w14:paraId="50F8108D" w14:textId="77777777" w:rsidR="006227E4" w:rsidRPr="0096591C" w:rsidRDefault="006227E4" w:rsidP="006227E4">
      <w:pPr>
        <w:rPr>
          <w:b/>
        </w:rPr>
      </w:pPr>
      <w:r w:rsidRPr="0096591C">
        <w:rPr>
          <w:b/>
        </w:rPr>
        <w:t>Rollback and Homestead Reimbursement</w:t>
      </w:r>
    </w:p>
    <w:p w14:paraId="2C8EB504" w14:textId="21605652" w:rsidR="007538CE" w:rsidRDefault="007538CE" w:rsidP="007538CE">
      <w:pPr>
        <w:pStyle w:val="BodyText"/>
        <w:spacing w:line="239" w:lineRule="auto"/>
        <w:ind w:left="0"/>
        <w:rPr>
          <w:rFonts w:ascii="Times" w:hAnsi="Times" w:cs="Times"/>
          <w:spacing w:val="-1"/>
        </w:rPr>
      </w:pPr>
      <w:bookmarkStart w:id="28" w:name="_Hlk207620544"/>
      <w:r w:rsidRPr="007538CE">
        <w:rPr>
          <w:rFonts w:ascii="Times" w:hAnsi="Times" w:cs="Times"/>
          <w:spacing w:val="-1"/>
        </w:rPr>
        <w:t>Rollback</w:t>
      </w:r>
      <w:r w:rsidRPr="007538CE">
        <w:rPr>
          <w:rFonts w:ascii="Times" w:hAnsi="Times" w:cs="Times"/>
        </w:rPr>
        <w:t xml:space="preserve"> </w:t>
      </w:r>
      <w:r w:rsidRPr="007538CE">
        <w:rPr>
          <w:rFonts w:ascii="Times" w:hAnsi="Times" w:cs="Times"/>
          <w:spacing w:val="-2"/>
        </w:rPr>
        <w:t>funds</w:t>
      </w:r>
      <w:r w:rsidRPr="007538CE">
        <w:rPr>
          <w:rFonts w:ascii="Times" w:hAnsi="Times" w:cs="Times"/>
        </w:rPr>
        <w:t xml:space="preserve"> </w:t>
      </w:r>
      <w:r w:rsidRPr="007538CE">
        <w:rPr>
          <w:rFonts w:ascii="Times" w:hAnsi="Times" w:cs="Times"/>
          <w:spacing w:val="-1"/>
        </w:rPr>
        <w:t>are</w:t>
      </w:r>
      <w:r w:rsidRPr="007538CE">
        <w:rPr>
          <w:rFonts w:ascii="Times" w:hAnsi="Times" w:cs="Times"/>
          <w:spacing w:val="-2"/>
        </w:rPr>
        <w:t xml:space="preserve"> reimbursements </w:t>
      </w:r>
      <w:r w:rsidRPr="007538CE">
        <w:rPr>
          <w:rFonts w:ascii="Times" w:hAnsi="Times" w:cs="Times"/>
          <w:spacing w:val="-1"/>
        </w:rPr>
        <w:t>paid</w:t>
      </w:r>
      <w:r w:rsidRPr="007538CE">
        <w:rPr>
          <w:rFonts w:ascii="Times" w:hAnsi="Times" w:cs="Times"/>
        </w:rPr>
        <w:t xml:space="preserve"> to the</w:t>
      </w:r>
      <w:r w:rsidRPr="007538CE">
        <w:rPr>
          <w:rFonts w:ascii="Times" w:hAnsi="Times" w:cs="Times"/>
          <w:spacing w:val="-1"/>
        </w:rPr>
        <w:t xml:space="preserve"> </w:t>
      </w:r>
      <w:r w:rsidRPr="007538CE">
        <w:rPr>
          <w:rFonts w:ascii="Times" w:hAnsi="Times" w:cs="Times"/>
          <w:spacing w:val="-2"/>
        </w:rPr>
        <w:t>district from</w:t>
      </w:r>
      <w:r w:rsidRPr="007538CE">
        <w:rPr>
          <w:rFonts w:ascii="Times" w:hAnsi="Times" w:cs="Times"/>
        </w:rPr>
        <w:t xml:space="preserve"> the State of Ohio </w:t>
      </w:r>
      <w:r w:rsidRPr="007538CE">
        <w:rPr>
          <w:rFonts w:ascii="Times" w:hAnsi="Times" w:cs="Times"/>
          <w:spacing w:val="-1"/>
        </w:rPr>
        <w:t xml:space="preserve">for </w:t>
      </w:r>
      <w:r w:rsidRPr="007538CE">
        <w:rPr>
          <w:rFonts w:ascii="Times" w:hAnsi="Times" w:cs="Times"/>
        </w:rPr>
        <w:t>tax</w:t>
      </w:r>
      <w:r w:rsidRPr="007538CE">
        <w:rPr>
          <w:rFonts w:ascii="Times" w:hAnsi="Times" w:cs="Times"/>
          <w:spacing w:val="1"/>
        </w:rPr>
        <w:t xml:space="preserve"> </w:t>
      </w:r>
      <w:r w:rsidRPr="007538CE">
        <w:rPr>
          <w:rFonts w:ascii="Times" w:hAnsi="Times" w:cs="Times"/>
          <w:spacing w:val="-1"/>
        </w:rPr>
        <w:t>credits</w:t>
      </w:r>
      <w:r w:rsidRPr="007538CE">
        <w:rPr>
          <w:rFonts w:ascii="Times" w:hAnsi="Times" w:cs="Times"/>
        </w:rPr>
        <w:t xml:space="preserve"> </w:t>
      </w:r>
      <w:r w:rsidRPr="007538CE">
        <w:rPr>
          <w:rFonts w:ascii="Times" w:hAnsi="Times" w:cs="Times"/>
          <w:spacing w:val="-1"/>
        </w:rPr>
        <w:t>given to owner-occupied</w:t>
      </w:r>
      <w:r w:rsidRPr="007538CE">
        <w:rPr>
          <w:rFonts w:ascii="Times" w:hAnsi="Times" w:cs="Times"/>
          <w:spacing w:val="89"/>
        </w:rPr>
        <w:t xml:space="preserve"> </w:t>
      </w:r>
      <w:r w:rsidRPr="007538CE">
        <w:rPr>
          <w:rFonts w:ascii="Times" w:hAnsi="Times" w:cs="Times"/>
          <w:spacing w:val="-1"/>
        </w:rPr>
        <w:t>residences.</w:t>
      </w:r>
      <w:r w:rsidRPr="007538CE">
        <w:rPr>
          <w:rFonts w:ascii="Times" w:hAnsi="Times" w:cs="Times"/>
        </w:rPr>
        <w:t xml:space="preserve"> </w:t>
      </w:r>
      <w:r w:rsidRPr="007538CE">
        <w:rPr>
          <w:rFonts w:ascii="Times" w:hAnsi="Times" w:cs="Times"/>
          <w:spacing w:val="-1"/>
        </w:rPr>
        <w:t>Credits equal</w:t>
      </w:r>
      <w:r w:rsidRPr="007538CE">
        <w:rPr>
          <w:rFonts w:ascii="Times" w:hAnsi="Times" w:cs="Times"/>
          <w:spacing w:val="-5"/>
        </w:rPr>
        <w:t xml:space="preserve"> </w:t>
      </w:r>
      <w:r w:rsidRPr="007538CE">
        <w:rPr>
          <w:rFonts w:ascii="Times" w:hAnsi="Times" w:cs="Times"/>
        </w:rPr>
        <w:t>12.5%</w:t>
      </w:r>
      <w:r w:rsidRPr="007538CE">
        <w:rPr>
          <w:rFonts w:ascii="Times" w:hAnsi="Times" w:cs="Times"/>
          <w:spacing w:val="-1"/>
        </w:rPr>
        <w:t xml:space="preserve"> </w:t>
      </w:r>
      <w:r w:rsidRPr="007538CE">
        <w:rPr>
          <w:rFonts w:ascii="Times" w:hAnsi="Times" w:cs="Times"/>
        </w:rPr>
        <w:t>of</w:t>
      </w:r>
      <w:r w:rsidRPr="007538CE">
        <w:rPr>
          <w:rFonts w:ascii="Times" w:hAnsi="Times" w:cs="Times"/>
          <w:spacing w:val="-1"/>
        </w:rPr>
        <w:t xml:space="preserve"> </w:t>
      </w:r>
      <w:r w:rsidRPr="007538CE">
        <w:rPr>
          <w:rFonts w:ascii="Times" w:hAnsi="Times" w:cs="Times"/>
        </w:rPr>
        <w:t xml:space="preserve">the </w:t>
      </w:r>
      <w:r w:rsidRPr="007538CE">
        <w:rPr>
          <w:rFonts w:ascii="Times" w:hAnsi="Times" w:cs="Times"/>
          <w:spacing w:val="-1"/>
        </w:rPr>
        <w:t xml:space="preserve">gross </w:t>
      </w:r>
      <w:r w:rsidRPr="007538CE">
        <w:rPr>
          <w:rFonts w:ascii="Times" w:hAnsi="Times" w:cs="Times"/>
        </w:rPr>
        <w:t>property</w:t>
      </w:r>
      <w:r w:rsidRPr="007538CE">
        <w:rPr>
          <w:rFonts w:ascii="Times" w:hAnsi="Times" w:cs="Times"/>
          <w:spacing w:val="-10"/>
        </w:rPr>
        <w:t xml:space="preserve"> </w:t>
      </w:r>
      <w:r w:rsidRPr="007538CE">
        <w:rPr>
          <w:rFonts w:ascii="Times" w:hAnsi="Times" w:cs="Times"/>
        </w:rPr>
        <w:t xml:space="preserve">taxes </w:t>
      </w:r>
      <w:r w:rsidRPr="007538CE">
        <w:rPr>
          <w:rFonts w:ascii="Times" w:hAnsi="Times" w:cs="Times"/>
          <w:spacing w:val="-1"/>
        </w:rPr>
        <w:t>charged</w:t>
      </w:r>
      <w:r w:rsidRPr="007538CE">
        <w:rPr>
          <w:rFonts w:ascii="Times" w:hAnsi="Times" w:cs="Times"/>
        </w:rPr>
        <w:t xml:space="preserve"> to </w:t>
      </w:r>
      <w:r w:rsidRPr="007538CE">
        <w:rPr>
          <w:rFonts w:ascii="Times" w:hAnsi="Times" w:cs="Times"/>
          <w:spacing w:val="-2"/>
        </w:rPr>
        <w:t>residential</w:t>
      </w:r>
      <w:r w:rsidRPr="007538CE">
        <w:rPr>
          <w:rFonts w:ascii="Times" w:hAnsi="Times" w:cs="Times"/>
        </w:rPr>
        <w:t xml:space="preserve"> </w:t>
      </w:r>
      <w:r w:rsidRPr="007538CE">
        <w:rPr>
          <w:rFonts w:ascii="Times" w:hAnsi="Times" w:cs="Times"/>
          <w:spacing w:val="-2"/>
        </w:rPr>
        <w:t>taxpayers</w:t>
      </w:r>
      <w:r w:rsidRPr="007538CE">
        <w:rPr>
          <w:rFonts w:ascii="Times" w:hAnsi="Times" w:cs="Times"/>
          <w:spacing w:val="-1"/>
        </w:rPr>
        <w:t xml:space="preserve"> </w:t>
      </w:r>
      <w:r w:rsidRPr="007538CE">
        <w:rPr>
          <w:rFonts w:ascii="Times" w:hAnsi="Times" w:cs="Times"/>
        </w:rPr>
        <w:t>on</w:t>
      </w:r>
      <w:r w:rsidRPr="007538CE">
        <w:rPr>
          <w:rFonts w:ascii="Times" w:hAnsi="Times" w:cs="Times"/>
          <w:spacing w:val="2"/>
        </w:rPr>
        <w:t xml:space="preserve"> </w:t>
      </w:r>
      <w:r w:rsidRPr="007538CE">
        <w:rPr>
          <w:rFonts w:ascii="Times" w:hAnsi="Times" w:cs="Times"/>
          <w:spacing w:val="-1"/>
        </w:rPr>
        <w:t>levies</w:t>
      </w:r>
      <w:r w:rsidRPr="007538CE">
        <w:rPr>
          <w:rFonts w:ascii="Times" w:hAnsi="Times" w:cs="Times"/>
          <w:spacing w:val="-3"/>
        </w:rPr>
        <w:t xml:space="preserve"> passed before </w:t>
      </w:r>
      <w:r w:rsidRPr="007538CE">
        <w:rPr>
          <w:rFonts w:ascii="Times" w:hAnsi="Times" w:cs="Times"/>
          <w:spacing w:val="-1"/>
        </w:rPr>
        <w:t>September</w:t>
      </w:r>
      <w:r w:rsidRPr="007538CE">
        <w:rPr>
          <w:rFonts w:ascii="Times" w:hAnsi="Times" w:cs="Times"/>
          <w:spacing w:val="-2"/>
        </w:rPr>
        <w:t xml:space="preserve"> </w:t>
      </w:r>
      <w:r w:rsidRPr="007538CE">
        <w:rPr>
          <w:rFonts w:ascii="Times" w:hAnsi="Times" w:cs="Times"/>
        </w:rPr>
        <w:t>29,</w:t>
      </w:r>
      <w:r w:rsidRPr="007538CE">
        <w:rPr>
          <w:rFonts w:ascii="Times" w:hAnsi="Times" w:cs="Times"/>
          <w:spacing w:val="-3"/>
        </w:rPr>
        <w:t xml:space="preserve"> </w:t>
      </w:r>
      <w:r w:rsidRPr="007538CE">
        <w:rPr>
          <w:rFonts w:ascii="Times" w:hAnsi="Times" w:cs="Times"/>
          <w:spacing w:val="-1"/>
        </w:rPr>
        <w:t>2013.</w:t>
      </w:r>
      <w:r w:rsidRPr="007538CE">
        <w:rPr>
          <w:rFonts w:ascii="Times" w:hAnsi="Times" w:cs="Times"/>
          <w:spacing w:val="60"/>
        </w:rPr>
        <w:t xml:space="preserve"> </w:t>
      </w:r>
      <w:r w:rsidRPr="007538CE">
        <w:rPr>
          <w:rFonts w:ascii="Times" w:hAnsi="Times" w:cs="Times"/>
          <w:spacing w:val="-1"/>
        </w:rPr>
        <w:t>HB59</w:t>
      </w:r>
      <w:r w:rsidRPr="007538CE">
        <w:rPr>
          <w:rFonts w:ascii="Times" w:hAnsi="Times" w:cs="Times"/>
        </w:rPr>
        <w:t xml:space="preserve"> </w:t>
      </w:r>
      <w:r w:rsidRPr="007538CE">
        <w:rPr>
          <w:rFonts w:ascii="Times" w:hAnsi="Times" w:cs="Times"/>
          <w:spacing w:val="-1"/>
        </w:rPr>
        <w:t xml:space="preserve">eliminated the </w:t>
      </w:r>
      <w:r w:rsidRPr="007538CE">
        <w:rPr>
          <w:rFonts w:ascii="Times" w:hAnsi="Times" w:cs="Times"/>
        </w:rPr>
        <w:t>10%</w:t>
      </w:r>
      <w:r w:rsidRPr="007538CE">
        <w:rPr>
          <w:rFonts w:ascii="Times" w:hAnsi="Times" w:cs="Times"/>
          <w:spacing w:val="-1"/>
        </w:rPr>
        <w:t xml:space="preserve"> and</w:t>
      </w:r>
      <w:r w:rsidRPr="007538CE">
        <w:rPr>
          <w:rFonts w:ascii="Times" w:hAnsi="Times" w:cs="Times"/>
        </w:rPr>
        <w:t xml:space="preserve"> 2.5%</w:t>
      </w:r>
      <w:r w:rsidRPr="007538CE">
        <w:rPr>
          <w:rFonts w:ascii="Times" w:hAnsi="Times" w:cs="Times"/>
          <w:spacing w:val="-1"/>
        </w:rPr>
        <w:t xml:space="preserve"> rollback</w:t>
      </w:r>
      <w:r w:rsidRPr="007538CE">
        <w:rPr>
          <w:rFonts w:ascii="Times" w:hAnsi="Times" w:cs="Times"/>
          <w:spacing w:val="-3"/>
        </w:rPr>
        <w:t xml:space="preserve"> </w:t>
      </w:r>
      <w:r w:rsidRPr="007538CE">
        <w:rPr>
          <w:rFonts w:ascii="Times" w:hAnsi="Times" w:cs="Times"/>
        </w:rPr>
        <w:t xml:space="preserve">on </w:t>
      </w:r>
      <w:r w:rsidRPr="007538CE">
        <w:rPr>
          <w:rFonts w:ascii="Times" w:hAnsi="Times" w:cs="Times"/>
          <w:spacing w:val="-1"/>
        </w:rPr>
        <w:t>new levies</w:t>
      </w:r>
      <w:r w:rsidRPr="007538CE">
        <w:rPr>
          <w:rFonts w:ascii="Times" w:hAnsi="Times" w:cs="Times"/>
        </w:rPr>
        <w:t xml:space="preserve"> </w:t>
      </w:r>
      <w:r w:rsidRPr="007538CE">
        <w:rPr>
          <w:rFonts w:ascii="Times" w:hAnsi="Times" w:cs="Times"/>
          <w:spacing w:val="-2"/>
        </w:rPr>
        <w:t>approved</w:t>
      </w:r>
      <w:r w:rsidRPr="007538CE">
        <w:rPr>
          <w:rFonts w:ascii="Times" w:hAnsi="Times" w:cs="Times"/>
          <w:spacing w:val="57"/>
        </w:rPr>
        <w:t xml:space="preserve"> </w:t>
      </w:r>
      <w:r w:rsidRPr="007538CE">
        <w:rPr>
          <w:rFonts w:ascii="Times" w:hAnsi="Times" w:cs="Times"/>
          <w:spacing w:val="-1"/>
        </w:rPr>
        <w:t>after September</w:t>
      </w:r>
      <w:r w:rsidRPr="007538CE">
        <w:rPr>
          <w:rFonts w:ascii="Times" w:hAnsi="Times" w:cs="Times"/>
          <w:spacing w:val="-3"/>
        </w:rPr>
        <w:t xml:space="preserve"> </w:t>
      </w:r>
      <w:r w:rsidRPr="007538CE">
        <w:rPr>
          <w:rFonts w:ascii="Times" w:hAnsi="Times" w:cs="Times"/>
        </w:rPr>
        <w:t>29, 2013</w:t>
      </w:r>
      <w:r w:rsidRPr="007538CE">
        <w:rPr>
          <w:rFonts w:ascii="Times" w:hAnsi="Times" w:cs="Times"/>
          <w:spacing w:val="-1"/>
        </w:rPr>
        <w:t xml:space="preserve">. And Homestead Exemptions are credits paid to the district from the state of Ohio for qualified elderly and disabled. </w:t>
      </w:r>
    </w:p>
    <w:p w14:paraId="47920E3E" w14:textId="77777777" w:rsidR="007446E1" w:rsidRDefault="007446E1" w:rsidP="007538CE">
      <w:pPr>
        <w:pStyle w:val="BodyText"/>
        <w:spacing w:line="239" w:lineRule="auto"/>
        <w:ind w:left="0"/>
        <w:rPr>
          <w:rFonts w:ascii="Times" w:hAnsi="Times" w:cs="Times"/>
          <w:spacing w:val="-1"/>
        </w:rPr>
      </w:pPr>
    </w:p>
    <w:p w14:paraId="08F45CEF" w14:textId="77777777" w:rsidR="007446E1" w:rsidRPr="007446E1" w:rsidRDefault="007446E1" w:rsidP="00BB28FA">
      <w:pPr>
        <w:pStyle w:val="BodyText"/>
        <w:ind w:left="0"/>
        <w:rPr>
          <w:rFonts w:ascii="Times" w:hAnsi="Times" w:cs="Times"/>
          <w:spacing w:val="-1"/>
        </w:rPr>
      </w:pPr>
      <w:r w:rsidRPr="007446E1">
        <w:rPr>
          <w:rFonts w:ascii="Times" w:hAnsi="Times" w:cs="Times"/>
          <w:spacing w:val="-1"/>
        </w:rPr>
        <w:t>HB96 began a phase down of the 10% rollback credit that has been in effect since 1971 and an equal phase up of the Owner Occupied Credit (OOC) that has been in effect since 1978.  In addition, HB96 increased the OOC by 2.88% by phasing it in over four (4) years starting in tax year 2026. The table below shows the phasing of these changes.  Eventually there will be some amount of 10% rollback for non-timber farmland but we will need tax settlement sheets to determine that amount.  But these amounts are fully reimbursed to the school district when deducted from Class I property tax bills. Homestead credits vary annually based on applicants and eligibility.</w:t>
      </w:r>
    </w:p>
    <w:p w14:paraId="219DED9B" w14:textId="77777777" w:rsidR="007446E1" w:rsidRPr="007446E1" w:rsidRDefault="007446E1" w:rsidP="007446E1">
      <w:pPr>
        <w:pStyle w:val="BodyText"/>
        <w:spacing w:line="239" w:lineRule="auto"/>
        <w:rPr>
          <w:rFonts w:ascii="Times" w:hAnsi="Times" w:cs="Times"/>
          <w:spacing w:val="-1"/>
        </w:rPr>
      </w:pPr>
    </w:p>
    <w:p w14:paraId="42B1104D" w14:textId="77777777" w:rsidR="007446E1" w:rsidRPr="007446E1" w:rsidRDefault="007446E1" w:rsidP="00BB28FA">
      <w:pPr>
        <w:pStyle w:val="BodyText"/>
        <w:ind w:left="0"/>
        <w:rPr>
          <w:rFonts w:ascii="Times" w:hAnsi="Times" w:cs="Times"/>
          <w:spacing w:val="-1"/>
        </w:rPr>
      </w:pPr>
      <w:r w:rsidRPr="007446E1">
        <w:rPr>
          <w:rFonts w:ascii="Times" w:hAnsi="Times" w:cs="Times"/>
          <w:spacing w:val="-1"/>
        </w:rPr>
        <w:t xml:space="preserve">The state of Ohio passed HB479 was signed June 24, 2026, and becomes effective September 23, which included a one-time doubling of the homestead exemption credit to start with tax bills in calendar 2027.  This is a one-time only increase to help homeowners is estimated to provide $350 million in taxpayer relief for qualified Homestead applicants and will be reimbursed to local governments from a $2.0 billion surplus in the state budget at the end of May 2026. There were also technical adjustments that if HB186 inflationary tax credits are present, they will be applied after the homestead credits are determined to maximize the credit for homeowners.  This will cost the state an addition $44 million annually which will also be reimbursed to local governments if applicable. The $44 million increase is ongoing. </w:t>
      </w:r>
    </w:p>
    <w:p w14:paraId="1DCB2E45" w14:textId="77777777" w:rsidR="007446E1" w:rsidRPr="007446E1" w:rsidRDefault="007446E1" w:rsidP="007446E1">
      <w:pPr>
        <w:pStyle w:val="BodyText"/>
        <w:spacing w:line="239" w:lineRule="auto"/>
        <w:rPr>
          <w:rFonts w:ascii="Times" w:hAnsi="Times" w:cs="Times"/>
          <w:spacing w:val="-1"/>
        </w:rPr>
      </w:pPr>
    </w:p>
    <w:p w14:paraId="16BACDCF" w14:textId="3D40D348" w:rsidR="007446E1" w:rsidRPr="007446E1" w:rsidRDefault="007446E1" w:rsidP="007446E1">
      <w:pPr>
        <w:pStyle w:val="BodyText"/>
        <w:spacing w:line="239" w:lineRule="auto"/>
        <w:jc w:val="center"/>
        <w:rPr>
          <w:rFonts w:ascii="Times" w:hAnsi="Times" w:cs="Times"/>
          <w:spacing w:val="-1"/>
        </w:rPr>
      </w:pPr>
      <w:r w:rsidRPr="007446E1">
        <w:rPr>
          <w:rFonts w:ascii="Times" w:hAnsi="Times" w:cs="Times"/>
          <w:noProof/>
          <w:spacing w:val="-1"/>
        </w:rPr>
        <w:lastRenderedPageBreak/>
        <w:drawing>
          <wp:inline distT="0" distB="0" distL="0" distR="0" wp14:anchorId="3DE80429" wp14:editId="345508D6">
            <wp:extent cx="5876925" cy="2095500"/>
            <wp:effectExtent l="0" t="0" r="0" b="0"/>
            <wp:docPr id="19350005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876925" cy="2095500"/>
                    </a:xfrm>
                    <a:prstGeom prst="rect">
                      <a:avLst/>
                    </a:prstGeom>
                    <a:noFill/>
                    <a:ln>
                      <a:noFill/>
                    </a:ln>
                  </pic:spPr>
                </pic:pic>
              </a:graphicData>
            </a:graphic>
          </wp:inline>
        </w:drawing>
      </w:r>
    </w:p>
    <w:p w14:paraId="34C884B7" w14:textId="77777777" w:rsidR="007446E1" w:rsidRPr="007538CE" w:rsidRDefault="007446E1" w:rsidP="007538CE">
      <w:pPr>
        <w:pStyle w:val="BodyText"/>
        <w:spacing w:line="239" w:lineRule="auto"/>
        <w:ind w:left="0"/>
        <w:rPr>
          <w:rFonts w:ascii="Times" w:hAnsi="Times" w:cs="Times"/>
          <w:spacing w:val="-1"/>
        </w:rPr>
      </w:pPr>
    </w:p>
    <w:p w14:paraId="7F96FE4E" w14:textId="77777777" w:rsidR="00121A30" w:rsidRPr="00F768C3" w:rsidRDefault="00121A30" w:rsidP="00121A30">
      <w:pPr>
        <w:tabs>
          <w:tab w:val="left" w:pos="9120"/>
        </w:tabs>
        <w:rPr>
          <w:rFonts w:ascii="Times" w:hAnsi="Times" w:cs="Times"/>
          <w:b/>
          <w:bCs/>
        </w:rPr>
      </w:pPr>
      <w:bookmarkStart w:id="29" w:name="_Hlk220151025"/>
      <w:bookmarkEnd w:id="28"/>
      <w:r w:rsidRPr="00F768C3">
        <w:rPr>
          <w:rFonts w:ascii="Times" w:hAnsi="Times" w:cs="Times"/>
          <w:b/>
          <w:bCs/>
        </w:rPr>
        <w:t>Partial HB186 Guarantee</w:t>
      </w:r>
    </w:p>
    <w:p w14:paraId="746CCB93" w14:textId="668D799F" w:rsidR="00BB28FA" w:rsidRPr="00BB28FA" w:rsidRDefault="00121A30" w:rsidP="00BB28FA">
      <w:pPr>
        <w:tabs>
          <w:tab w:val="left" w:pos="9120"/>
        </w:tabs>
        <w:rPr>
          <w:rFonts w:ascii="Times" w:hAnsi="Times" w:cs="Times"/>
        </w:rPr>
      </w:pPr>
      <w:r w:rsidRPr="00F768C3">
        <w:rPr>
          <w:rFonts w:ascii="Times" w:hAnsi="Times" w:cs="Times"/>
        </w:rPr>
        <w:t>We do not anticipate a hold harmless payment for HB186 impact on our Tax Year 2024 reappraisal</w:t>
      </w:r>
      <w:r w:rsidR="007446E1">
        <w:rPr>
          <w:rFonts w:ascii="Times" w:hAnsi="Times" w:cs="Times"/>
        </w:rPr>
        <w:t>.</w:t>
      </w:r>
      <w:r w:rsidR="00BB28FA">
        <w:rPr>
          <w:rFonts w:ascii="Times" w:hAnsi="Times" w:cs="Times"/>
        </w:rPr>
        <w:t xml:space="preserve">  </w:t>
      </w:r>
    </w:p>
    <w:bookmarkEnd w:id="29"/>
    <w:p w14:paraId="5AA227A1" w14:textId="77777777" w:rsidR="00CC3BF8" w:rsidRPr="0096591C" w:rsidRDefault="00CC3BF8" w:rsidP="006227E4">
      <w:pPr>
        <w:tabs>
          <w:tab w:val="left" w:pos="9120"/>
        </w:tabs>
        <w:rPr>
          <w:b/>
        </w:rPr>
      </w:pPr>
    </w:p>
    <w:p w14:paraId="19D742B4" w14:textId="77777777" w:rsidR="006227E4" w:rsidRPr="0096591C" w:rsidRDefault="006227E4" w:rsidP="006227E4">
      <w:pPr>
        <w:tabs>
          <w:tab w:val="left" w:pos="9120"/>
        </w:tabs>
        <w:rPr>
          <w:b/>
        </w:rPr>
      </w:pPr>
      <w:r w:rsidRPr="0096591C">
        <w:rPr>
          <w:b/>
        </w:rPr>
        <w:t>Summary of State</w:t>
      </w:r>
      <w:r w:rsidRPr="0096591C">
        <w:t xml:space="preserve"> </w:t>
      </w:r>
      <w:r w:rsidRPr="0096591C">
        <w:rPr>
          <w:b/>
        </w:rPr>
        <w:t>Tax Reimbursement – Line #1.050</w:t>
      </w:r>
    </w:p>
    <w:p w14:paraId="7226A67D" w14:textId="25B09192" w:rsidR="006227E4" w:rsidRDefault="006227E4" w:rsidP="0016575E"/>
    <w:p w14:paraId="3F113834" w14:textId="386FBA35" w:rsidR="0064214E" w:rsidRPr="0096591C" w:rsidRDefault="007C2CF0" w:rsidP="0016575E">
      <w:pPr>
        <w:rPr>
          <w:b/>
        </w:rPr>
      </w:pPr>
      <w:r>
        <w:object w:dxaOrig="13260" w:dyaOrig="1395" w14:anchorId="239C5C04">
          <v:shape id="_x0000_i1034" type="#_x0000_t75" style="width:540pt;height:69.75pt" o:ole="">
            <v:imagedata r:id="rId30" o:title=""/>
          </v:shape>
          <o:OLEObject Type="Link" ProgID="Excel.Sheet.12" ShapeID="_x0000_i1034" DrawAspect="Content" r:id="rId31" UpdateMode="Always">
            <o:LinkType>EnhancedMetaFile</o:LinkType>
            <o:LockedField>false</o:LockedField>
          </o:OLEObject>
        </w:object>
      </w:r>
    </w:p>
    <w:p w14:paraId="4FCE04F7" w14:textId="77777777" w:rsidR="0098158F" w:rsidRDefault="0098158F" w:rsidP="006227E4">
      <w:pPr>
        <w:ind w:left="720" w:hanging="720"/>
        <w:rPr>
          <w:b/>
        </w:rPr>
      </w:pPr>
    </w:p>
    <w:p w14:paraId="2DA165CD" w14:textId="77777777" w:rsidR="006227E4" w:rsidRPr="0096591C" w:rsidRDefault="006227E4" w:rsidP="006227E4">
      <w:pPr>
        <w:ind w:left="720" w:hanging="720"/>
        <w:rPr>
          <w:b/>
        </w:rPr>
      </w:pPr>
      <w:r w:rsidRPr="0096591C">
        <w:rPr>
          <w:b/>
        </w:rPr>
        <w:t>Other Local Revenues – Line #1.060</w:t>
      </w:r>
    </w:p>
    <w:p w14:paraId="6A8411B1" w14:textId="429FC4EE" w:rsidR="007538CE" w:rsidRPr="007538CE" w:rsidRDefault="007538CE" w:rsidP="007538CE">
      <w:pPr>
        <w:jc w:val="both"/>
        <w:rPr>
          <w:rFonts w:ascii="Times" w:hAnsi="Times"/>
        </w:rPr>
      </w:pPr>
      <w:bookmarkStart w:id="30" w:name="_Hlk179217177"/>
      <w:r w:rsidRPr="007538CE">
        <w:rPr>
          <w:rFonts w:ascii="Times" w:hAnsi="Times"/>
        </w:rPr>
        <w:t>All other local revenue encompasses any revenue that does not fit the above lines. The primary sources of revenue in this area have been, interest on investments, tuition for court-placed students, student fees, Payment In Lieu of Taxes, and general rental fees. Since FY22 any open-enrolled students since have been counted in our Enrolled ADM numbers for state funding and are not separately funded.</w:t>
      </w:r>
      <w:r w:rsidRPr="007538CE">
        <w:rPr>
          <w:rFonts w:ascii="Times" w:hAnsi="Times"/>
          <w:strike/>
        </w:rPr>
        <w:t xml:space="preserve">   </w:t>
      </w:r>
    </w:p>
    <w:p w14:paraId="67A7A976" w14:textId="77777777" w:rsidR="007538CE" w:rsidRPr="007538CE" w:rsidRDefault="007538CE" w:rsidP="007538CE">
      <w:pPr>
        <w:jc w:val="both"/>
        <w:rPr>
          <w:rFonts w:ascii="Times" w:hAnsi="Times"/>
        </w:rPr>
      </w:pPr>
    </w:p>
    <w:p w14:paraId="261CFEDE" w14:textId="3DD32954" w:rsidR="007538CE" w:rsidRPr="003D39F3" w:rsidRDefault="007538CE" w:rsidP="007538CE">
      <w:pPr>
        <w:jc w:val="both"/>
        <w:rPr>
          <w:rFonts w:ascii="Times" w:hAnsi="Times"/>
        </w:rPr>
      </w:pPr>
      <w:r w:rsidRPr="007538CE">
        <w:rPr>
          <w:rFonts w:ascii="Times" w:hAnsi="Times"/>
        </w:rPr>
        <w:t>Interest income is based on the district’s cash balances. While interest income in FY2</w:t>
      </w:r>
      <w:r w:rsidR="009C0175">
        <w:rPr>
          <w:rFonts w:ascii="Times" w:hAnsi="Times"/>
        </w:rPr>
        <w:t>7</w:t>
      </w:r>
      <w:r w:rsidRPr="007538CE">
        <w:rPr>
          <w:rFonts w:ascii="Times" w:hAnsi="Times"/>
        </w:rPr>
        <w:t xml:space="preserve"> should remain steady due to laddered investment strategies, expected Federal Reserve rate cuts will begin to have an impact on earnings in FY2</w:t>
      </w:r>
      <w:r w:rsidR="009C0175">
        <w:rPr>
          <w:rFonts w:ascii="Times" w:hAnsi="Times"/>
        </w:rPr>
        <w:t>8</w:t>
      </w:r>
      <w:r w:rsidRPr="007538CE">
        <w:rPr>
          <w:rFonts w:ascii="Times" w:hAnsi="Times"/>
        </w:rPr>
        <w:t xml:space="preserve"> and future years. We will continue to monitor the investments for the district. Rentals are expected to return to pre-pandemic levels over time. All other revenues are expected to continue historical trends.</w:t>
      </w:r>
    </w:p>
    <w:bookmarkEnd w:id="30"/>
    <w:p w14:paraId="72B241E8" w14:textId="574580F9" w:rsidR="0028771E" w:rsidRDefault="0028771E" w:rsidP="00F71B26"/>
    <w:p w14:paraId="3E0BCBF3" w14:textId="55E1CCFE" w:rsidR="0064214E" w:rsidRPr="000510CB" w:rsidRDefault="007C2CF0" w:rsidP="00F71B26">
      <w:r>
        <w:object w:dxaOrig="13260" w:dyaOrig="2160" w14:anchorId="2BA9DB29">
          <v:shape id="_x0000_i1035" type="#_x0000_t75" style="width:540pt;height:108pt" o:ole="">
            <v:imagedata r:id="rId32" o:title=""/>
          </v:shape>
          <o:OLEObject Type="Link" ProgID="Excel.Sheet.12" ShapeID="_x0000_i1035" DrawAspect="Content" r:id="rId33" UpdateMode="Always">
            <o:LinkType>EnhancedMetaFile</o:LinkType>
            <o:LockedField>false</o:LockedField>
          </o:OLEObject>
        </w:object>
      </w:r>
    </w:p>
    <w:p w14:paraId="3B974935" w14:textId="77777777" w:rsidR="00CA63F4" w:rsidRDefault="00CA63F4" w:rsidP="00F71B26">
      <w:pPr>
        <w:rPr>
          <w:b/>
        </w:rPr>
      </w:pPr>
    </w:p>
    <w:p w14:paraId="35E04DB2" w14:textId="77777777" w:rsidR="009A2980" w:rsidRPr="0096591C" w:rsidRDefault="009A2980" w:rsidP="00F71B26">
      <w:pPr>
        <w:rPr>
          <w:b/>
        </w:rPr>
      </w:pPr>
      <w:r w:rsidRPr="0096591C">
        <w:rPr>
          <w:b/>
        </w:rPr>
        <w:t>Short-Term Borrowing – Lines #2.010 &amp; Line #2.020</w:t>
      </w:r>
    </w:p>
    <w:p w14:paraId="79117E87" w14:textId="77777777" w:rsidR="0001256E" w:rsidRPr="00A11A2D" w:rsidRDefault="0001256E" w:rsidP="0001256E">
      <w:pPr>
        <w:rPr>
          <w:rFonts w:ascii="Times" w:hAnsi="Times"/>
        </w:rPr>
      </w:pPr>
      <w:r w:rsidRPr="00A11A2D">
        <w:rPr>
          <w:rFonts w:ascii="Times" w:hAnsi="Times"/>
        </w:rPr>
        <w:t>The</w:t>
      </w:r>
      <w:r>
        <w:rPr>
          <w:rFonts w:ascii="Times" w:hAnsi="Times"/>
        </w:rPr>
        <w:t>r</w:t>
      </w:r>
      <w:r w:rsidRPr="00A11A2D">
        <w:rPr>
          <w:rFonts w:ascii="Times" w:hAnsi="Times"/>
        </w:rPr>
        <w:t xml:space="preserve">e is no </w:t>
      </w:r>
      <w:r>
        <w:rPr>
          <w:rFonts w:ascii="Times" w:hAnsi="Times"/>
        </w:rPr>
        <w:t>short-term</w:t>
      </w:r>
      <w:r w:rsidRPr="00A11A2D">
        <w:rPr>
          <w:rFonts w:ascii="Times" w:hAnsi="Times"/>
        </w:rPr>
        <w:t xml:space="preserve"> borrowing projected in this forecast.</w:t>
      </w:r>
    </w:p>
    <w:p w14:paraId="2F2FEB38" w14:textId="77777777" w:rsidR="00067090" w:rsidRPr="00CA63F4" w:rsidRDefault="00067090" w:rsidP="00D67D62"/>
    <w:p w14:paraId="5C5F85A7" w14:textId="77777777" w:rsidR="00D84977" w:rsidRPr="00D84977" w:rsidRDefault="00D84977" w:rsidP="00D84977">
      <w:pPr>
        <w:rPr>
          <w:rFonts w:ascii="Times" w:hAnsi="Times"/>
          <w:b/>
        </w:rPr>
      </w:pPr>
      <w:r w:rsidRPr="00D84977">
        <w:rPr>
          <w:rFonts w:ascii="Times" w:hAnsi="Times"/>
          <w:b/>
        </w:rPr>
        <w:t xml:space="preserve">All Other Financial Sources – Line #2.060 </w:t>
      </w:r>
    </w:p>
    <w:p w14:paraId="778CBEE0" w14:textId="6C1F29F9" w:rsidR="003900DB" w:rsidRDefault="007538CE" w:rsidP="007538CE">
      <w:pPr>
        <w:jc w:val="both"/>
        <w:rPr>
          <w:rFonts w:ascii="Times" w:hAnsi="Times"/>
        </w:rPr>
      </w:pPr>
      <w:bookmarkStart w:id="31" w:name="_Hlk179801076"/>
      <w:r w:rsidRPr="00A329DC">
        <w:rPr>
          <w:rFonts w:ascii="Times" w:hAnsi="Times"/>
        </w:rPr>
        <w:lastRenderedPageBreak/>
        <w:t xml:space="preserve">This funding source is typically a refund of prior year expenditures that is very unpredictable. These revenues </w:t>
      </w:r>
      <w:r w:rsidRPr="007538CE">
        <w:rPr>
          <w:rFonts w:ascii="Times" w:hAnsi="Times"/>
        </w:rPr>
        <w:t xml:space="preserve">are inconsistent year to year, </w:t>
      </w:r>
      <w:r w:rsidR="00BB28FA">
        <w:rPr>
          <w:rFonts w:ascii="Times" w:hAnsi="Times"/>
        </w:rPr>
        <w:t xml:space="preserve">but </w:t>
      </w:r>
      <w:r w:rsidRPr="007538CE">
        <w:rPr>
          <w:rFonts w:ascii="Times" w:hAnsi="Times"/>
        </w:rPr>
        <w:t xml:space="preserve">we </w:t>
      </w:r>
      <w:r w:rsidR="00BB28FA">
        <w:rPr>
          <w:rFonts w:ascii="Times" w:hAnsi="Times"/>
        </w:rPr>
        <w:t xml:space="preserve">have </w:t>
      </w:r>
      <w:r w:rsidRPr="007538CE">
        <w:rPr>
          <w:rFonts w:ascii="Times" w:hAnsi="Times"/>
        </w:rPr>
        <w:t>project</w:t>
      </w:r>
      <w:r w:rsidR="00BB28FA">
        <w:rPr>
          <w:rFonts w:ascii="Times" w:hAnsi="Times"/>
        </w:rPr>
        <w:t>ed</w:t>
      </w:r>
      <w:r w:rsidRPr="007538CE">
        <w:rPr>
          <w:rFonts w:ascii="Times" w:hAnsi="Times"/>
        </w:rPr>
        <w:t xml:space="preserve"> </w:t>
      </w:r>
      <w:r w:rsidR="00BB28FA">
        <w:rPr>
          <w:rFonts w:ascii="Times" w:hAnsi="Times"/>
        </w:rPr>
        <w:t>a small amount each year.</w:t>
      </w:r>
      <w:bookmarkEnd w:id="31"/>
    </w:p>
    <w:p w14:paraId="55FA1EA3" w14:textId="77777777" w:rsidR="00BB28FA" w:rsidRDefault="00BB28FA" w:rsidP="007538CE">
      <w:pPr>
        <w:jc w:val="both"/>
        <w:rPr>
          <w:rFonts w:ascii="Times" w:hAnsi="Times"/>
        </w:rPr>
      </w:pPr>
    </w:p>
    <w:p w14:paraId="0C96F928" w14:textId="718A798F" w:rsidR="00BB28FA" w:rsidRPr="007538CE" w:rsidRDefault="00BB28FA" w:rsidP="007538CE">
      <w:pPr>
        <w:jc w:val="both"/>
        <w:rPr>
          <w:rFonts w:ascii="Times" w:hAnsi="Times"/>
        </w:rPr>
      </w:pPr>
      <w:r>
        <w:rPr>
          <w:rFonts w:ascii="Times" w:hAnsi="Times"/>
        </w:rPr>
        <w:object w:dxaOrig="13918" w:dyaOrig="644" w14:anchorId="59A57207">
          <v:shape id="_x0000_i1036" type="#_x0000_t75" style="width:540.75pt;height:32.25pt" o:ole="">
            <v:imagedata r:id="rId34" o:title=""/>
          </v:shape>
          <o:OLEObject Type="Link" ProgID="Excel.Sheet.12" ShapeID="_x0000_i1036" DrawAspect="Content" r:id="rId35" UpdateMode="Always">
            <o:LinkType>EnhancedMetaFile</o:LinkType>
            <o:LockedField>false</o:LockedField>
          </o:OLEObject>
        </w:object>
      </w:r>
    </w:p>
    <w:p w14:paraId="07BA1841" w14:textId="5CA9DF49" w:rsidR="007D652E" w:rsidRDefault="007D652E" w:rsidP="00125A83">
      <w:pPr>
        <w:rPr>
          <w:b/>
          <w:highlight w:val="lightGray"/>
        </w:rPr>
      </w:pPr>
    </w:p>
    <w:p w14:paraId="72D867E6" w14:textId="77777777" w:rsidR="00002D23" w:rsidRPr="00D84977" w:rsidRDefault="00002D23">
      <w:pPr>
        <w:ind w:left="720" w:hanging="720"/>
        <w:jc w:val="center"/>
        <w:rPr>
          <w:b/>
          <w:sz w:val="28"/>
          <w:szCs w:val="28"/>
        </w:rPr>
      </w:pPr>
      <w:r w:rsidRPr="00D84977">
        <w:rPr>
          <w:b/>
          <w:sz w:val="28"/>
          <w:szCs w:val="28"/>
          <w:highlight w:val="lightGray"/>
        </w:rPr>
        <w:t>Expenditures Assumptions</w:t>
      </w:r>
    </w:p>
    <w:p w14:paraId="7316E201" w14:textId="77777777" w:rsidR="00016E2A" w:rsidRPr="00016E2A" w:rsidRDefault="000D3E17" w:rsidP="00016E2A">
      <w:pPr>
        <w:pStyle w:val="Default"/>
        <w:rPr>
          <w:color w:val="auto"/>
        </w:rPr>
      </w:pPr>
      <w:r w:rsidRPr="00D51B7D">
        <w:rPr>
          <w:color w:val="auto"/>
        </w:rPr>
        <w:t>The district’s leadership team is always looking at ways to improve the education of the students</w:t>
      </w:r>
      <w:r>
        <w:rPr>
          <w:color w:val="auto"/>
        </w:rPr>
        <w:t>,</w:t>
      </w:r>
      <w:r w:rsidRPr="00D51B7D">
        <w:rPr>
          <w:color w:val="auto"/>
        </w:rPr>
        <w:t xml:space="preserve"> whether</w:t>
      </w:r>
      <w:r>
        <w:rPr>
          <w:color w:val="auto"/>
        </w:rPr>
        <w:t xml:space="preserve"> it be</w:t>
      </w:r>
      <w:r w:rsidRPr="00D51B7D">
        <w:rPr>
          <w:color w:val="auto"/>
        </w:rPr>
        <w:t xml:space="preserve"> with changes in</w:t>
      </w:r>
      <w:r>
        <w:rPr>
          <w:color w:val="auto"/>
        </w:rPr>
        <w:t xml:space="preserve"> staffing,</w:t>
      </w:r>
      <w:r w:rsidRPr="00D51B7D">
        <w:rPr>
          <w:color w:val="auto"/>
        </w:rPr>
        <w:t xml:space="preserve"> curriculum</w:t>
      </w:r>
      <w:r>
        <w:rPr>
          <w:color w:val="auto"/>
        </w:rPr>
        <w:t>,</w:t>
      </w:r>
      <w:r w:rsidRPr="00D51B7D">
        <w:rPr>
          <w:color w:val="auto"/>
        </w:rPr>
        <w:t xml:space="preserve"> or new technology needs. As the administration of the di</w:t>
      </w:r>
      <w:r>
        <w:rPr>
          <w:color w:val="auto"/>
        </w:rPr>
        <w:t>strict reviews</w:t>
      </w:r>
      <w:r w:rsidRPr="00D51B7D">
        <w:rPr>
          <w:color w:val="auto"/>
        </w:rPr>
        <w:t xml:space="preserve"> expenditures</w:t>
      </w:r>
      <w:r>
        <w:rPr>
          <w:color w:val="auto"/>
        </w:rPr>
        <w:t>,</w:t>
      </w:r>
      <w:r w:rsidRPr="00D51B7D">
        <w:rPr>
          <w:color w:val="auto"/>
        </w:rPr>
        <w:t xml:space="preserve"> the education </w:t>
      </w:r>
      <w:r>
        <w:rPr>
          <w:color w:val="auto"/>
        </w:rPr>
        <w:t>of the students is</w:t>
      </w:r>
      <w:r w:rsidRPr="00D51B7D">
        <w:rPr>
          <w:color w:val="auto"/>
        </w:rPr>
        <w:t xml:space="preserve"> always the main </w:t>
      </w:r>
      <w:r>
        <w:rPr>
          <w:color w:val="auto"/>
        </w:rPr>
        <w:t>focus for resource utilization.</w:t>
      </w:r>
      <w:r w:rsidRPr="00D51B7D">
        <w:rPr>
          <w:color w:val="auto"/>
        </w:rPr>
        <w:t xml:space="preserve">  </w:t>
      </w:r>
    </w:p>
    <w:p w14:paraId="41FB6120" w14:textId="77777777" w:rsidR="002E5A1B" w:rsidRPr="0096591C" w:rsidRDefault="002E5A1B" w:rsidP="00005D56">
      <w:pPr>
        <w:ind w:left="720" w:hanging="720"/>
        <w:rPr>
          <w:b/>
        </w:rPr>
      </w:pPr>
    </w:p>
    <w:p w14:paraId="42F55EE9" w14:textId="6F267BDE" w:rsidR="0064214E" w:rsidRPr="0096591C" w:rsidRDefault="00BB28FA" w:rsidP="00D84977">
      <w:pPr>
        <w:ind w:left="720" w:hanging="720"/>
        <w:jc w:val="center"/>
        <w:rPr>
          <w:b/>
        </w:rPr>
      </w:pPr>
      <w:r>
        <w:rPr>
          <w:noProof/>
        </w:rPr>
        <w:object w:dxaOrig="13770" w:dyaOrig="5955" w14:anchorId="7832C4A5">
          <v:shape id="_x0000_i1037" type="#_x0000_t75" style="width:480.75pt;height:266.25pt" o:ole="">
            <v:imagedata r:id="rId36" o:title=""/>
          </v:shape>
          <o:OLEObject Type="Link" ProgID="Excel.Sheet.12" ShapeID="_x0000_i1037" DrawAspect="Content" r:id="rId37" UpdateMode="Always">
            <o:LinkType>EnhancedMetaFile</o:LinkType>
            <o:LockedField>false</o:LockedField>
          </o:OLEObject>
        </w:object>
      </w:r>
    </w:p>
    <w:p w14:paraId="4FDCE51D" w14:textId="77777777" w:rsidR="00005D56" w:rsidRDefault="00005D56" w:rsidP="002332AD">
      <w:pPr>
        <w:ind w:left="720" w:hanging="720"/>
        <w:rPr>
          <w:b/>
          <w:noProof/>
        </w:rPr>
      </w:pPr>
    </w:p>
    <w:p w14:paraId="684E65EB" w14:textId="77777777" w:rsidR="00002D23" w:rsidRPr="0096591C" w:rsidRDefault="00002D23" w:rsidP="0027718C">
      <w:pPr>
        <w:rPr>
          <w:b/>
        </w:rPr>
      </w:pPr>
      <w:r w:rsidRPr="0096591C">
        <w:rPr>
          <w:b/>
        </w:rPr>
        <w:t>Wages – Line #3.010</w:t>
      </w:r>
    </w:p>
    <w:p w14:paraId="759AD35E" w14:textId="0052C2D2" w:rsidR="00D706DD" w:rsidRPr="00020DEA" w:rsidRDefault="00016E2A" w:rsidP="00D706DD">
      <w:r w:rsidRPr="005F525E">
        <w:t xml:space="preserve">The </w:t>
      </w:r>
      <w:r w:rsidR="007E7223" w:rsidRPr="005F525E">
        <w:t>district</w:t>
      </w:r>
      <w:r w:rsidRPr="005F525E">
        <w:t xml:space="preserve"> implemented a “pause” in all hiring relating to attrition, for fiscal year 2021 a salary/benefits reduction of $500,000 is reflected that is attributable to several positions being absorbed and not replaced. In </w:t>
      </w:r>
      <w:r w:rsidR="007E7223">
        <w:t>2023</w:t>
      </w:r>
      <w:r w:rsidRPr="005F525E">
        <w:t xml:space="preserve"> the Galion Board of Education entered into a </w:t>
      </w:r>
      <w:r w:rsidR="007E7223">
        <w:t>one</w:t>
      </w:r>
      <w:r w:rsidRPr="005F525E">
        <w:t xml:space="preserve"> (</w:t>
      </w:r>
      <w:r w:rsidR="007E7223">
        <w:t>1</w:t>
      </w:r>
      <w:r w:rsidRPr="005F525E">
        <w:t xml:space="preserve">) year agreement with the Galion Education Association and with the Ohio Association of </w:t>
      </w:r>
      <w:r w:rsidR="007502CF" w:rsidRPr="005F525E">
        <w:t>Public-School</w:t>
      </w:r>
      <w:r w:rsidRPr="005F525E">
        <w:t xml:space="preserve"> Employees. The financial impact of these two contracts are fully recognized in this forecast submission. The forecast represents salary increases based upon negotiated “step increases” per the collective bargaining agreements with the Galion Education Association and the Ohio Association of Public Employees of 3% for FY2</w:t>
      </w:r>
      <w:r w:rsidR="00016E11">
        <w:t>5</w:t>
      </w:r>
      <w:r w:rsidR="003900DB">
        <w:t xml:space="preserve">, 4% for FY26 and 3% increases for FY27 and FY28.  </w:t>
      </w:r>
      <w:r w:rsidR="005F525E" w:rsidRPr="005F525E">
        <w:rPr>
          <w:rFonts w:ascii="Times" w:hAnsi="Times"/>
        </w:rPr>
        <w:t xml:space="preserve">For planning </w:t>
      </w:r>
      <w:r w:rsidR="007D652E" w:rsidRPr="005F525E">
        <w:rPr>
          <w:rFonts w:ascii="Times" w:hAnsi="Times"/>
        </w:rPr>
        <w:t>purposes,</w:t>
      </w:r>
      <w:r w:rsidR="005F525E" w:rsidRPr="005F525E">
        <w:rPr>
          <w:rFonts w:ascii="Times" w:hAnsi="Times"/>
        </w:rPr>
        <w:t xml:space="preserve"> a 0% base </w:t>
      </w:r>
      <w:r w:rsidR="00A6370E">
        <w:rPr>
          <w:rFonts w:ascii="Times" w:hAnsi="Times"/>
        </w:rPr>
        <w:t>amount has been used for FY2</w:t>
      </w:r>
      <w:r w:rsidR="00016E11">
        <w:rPr>
          <w:rFonts w:ascii="Times" w:hAnsi="Times"/>
        </w:rPr>
        <w:t>9</w:t>
      </w:r>
      <w:r w:rsidR="00364378">
        <w:rPr>
          <w:rFonts w:ascii="Times" w:hAnsi="Times"/>
        </w:rPr>
        <w:t>-3</w:t>
      </w:r>
      <w:r w:rsidR="005F332F">
        <w:rPr>
          <w:rFonts w:ascii="Times" w:hAnsi="Times"/>
        </w:rPr>
        <w:t>1</w:t>
      </w:r>
      <w:r w:rsidR="005F525E" w:rsidRPr="005F525E">
        <w:rPr>
          <w:rFonts w:ascii="Times" w:hAnsi="Times"/>
        </w:rPr>
        <w:t xml:space="preserve">.  </w:t>
      </w:r>
      <w:r w:rsidR="005F332F">
        <w:rPr>
          <w:rFonts w:ascii="Times" w:hAnsi="Times"/>
        </w:rPr>
        <w:t xml:space="preserve">We also have a reduction in staffing for FY27 due to declining enrollment. </w:t>
      </w:r>
    </w:p>
    <w:p w14:paraId="4FABAA9E" w14:textId="77777777" w:rsidR="001D5091" w:rsidRPr="00A10609" w:rsidRDefault="001D5091" w:rsidP="00BF4C35">
      <w:pPr>
        <w:rPr>
          <w:rFonts w:ascii="Times" w:hAnsi="Times"/>
        </w:rPr>
      </w:pPr>
    </w:p>
    <w:p w14:paraId="05DD21BF" w14:textId="2ED0771D" w:rsidR="008A3221" w:rsidRDefault="003900DB" w:rsidP="00703B3A">
      <w:r w:rsidRPr="001B2D2F">
        <w:rPr>
          <w:rFonts w:ascii="Times" w:hAnsi="Times"/>
        </w:rPr>
        <w:t xml:space="preserve">We used ESSER funds in FY22-24 to help offset wage costs. </w:t>
      </w:r>
      <w:r w:rsidR="00A901D5">
        <w:t>ESSER funds have been fully spent and w</w:t>
      </w:r>
      <w:r w:rsidR="00276AA6">
        <w:t xml:space="preserve">e have added back wage costs that were paid from ESSER funds in </w:t>
      </w:r>
      <w:r w:rsidR="007D652E">
        <w:t>FY24,</w:t>
      </w:r>
      <w:r w:rsidR="00276AA6">
        <w:t xml:space="preserve"> and other adjustments noted for attrition.</w:t>
      </w:r>
    </w:p>
    <w:p w14:paraId="0F64558F" w14:textId="63873514" w:rsidR="008A3221" w:rsidRDefault="008A3221" w:rsidP="00703B3A"/>
    <w:p w14:paraId="31288D0A" w14:textId="1E132F91" w:rsidR="0064214E" w:rsidRPr="0096591C" w:rsidRDefault="007C2CF0" w:rsidP="00703B3A">
      <w:r>
        <w:object w:dxaOrig="13260" w:dyaOrig="2160" w14:anchorId="576AC12D">
          <v:shape id="_x0000_i1038" type="#_x0000_t75" style="width:540pt;height:108pt" o:ole="">
            <v:imagedata r:id="rId38" o:title=""/>
          </v:shape>
          <o:OLEObject Type="Link" ProgID="Excel.Sheet.12" ShapeID="_x0000_i1038" DrawAspect="Content" r:id="rId39" UpdateMode="Always">
            <o:LinkType>EnhancedMetaFile</o:LinkType>
            <o:LockedField>false</o:LockedField>
          </o:OLEObject>
        </w:object>
      </w:r>
    </w:p>
    <w:p w14:paraId="17331922" w14:textId="385E5FCB" w:rsidR="00643892" w:rsidRDefault="00643892">
      <w:pPr>
        <w:rPr>
          <w:b/>
        </w:rPr>
      </w:pPr>
    </w:p>
    <w:p w14:paraId="178DD15B" w14:textId="77777777" w:rsidR="00121A30" w:rsidRDefault="00121A30">
      <w:pPr>
        <w:rPr>
          <w:b/>
        </w:rPr>
      </w:pPr>
    </w:p>
    <w:p w14:paraId="1E57DA16" w14:textId="77777777" w:rsidR="00002D23" w:rsidRPr="0096591C" w:rsidRDefault="00002D23">
      <w:pPr>
        <w:rPr>
          <w:b/>
        </w:rPr>
      </w:pPr>
      <w:r w:rsidRPr="0096591C">
        <w:rPr>
          <w:b/>
        </w:rPr>
        <w:t>Fringe Benefits Estimates</w:t>
      </w:r>
      <w:r w:rsidR="00560279" w:rsidRPr="0096591C">
        <w:rPr>
          <w:b/>
        </w:rPr>
        <w:t xml:space="preserve"> </w:t>
      </w:r>
      <w:r w:rsidR="00211427">
        <w:rPr>
          <w:b/>
        </w:rPr>
        <w:t xml:space="preserve">- </w:t>
      </w:r>
      <w:r w:rsidR="00560279" w:rsidRPr="0096591C">
        <w:rPr>
          <w:b/>
        </w:rPr>
        <w:t xml:space="preserve">Line </w:t>
      </w:r>
      <w:r w:rsidR="00211427">
        <w:rPr>
          <w:b/>
        </w:rPr>
        <w:t>#</w:t>
      </w:r>
      <w:r w:rsidR="00560279" w:rsidRPr="0096591C">
        <w:rPr>
          <w:b/>
        </w:rPr>
        <w:t>3.02</w:t>
      </w:r>
    </w:p>
    <w:p w14:paraId="2B564254" w14:textId="77777777" w:rsidR="0029631F" w:rsidRDefault="0029631F" w:rsidP="0029631F">
      <w:pPr>
        <w:rPr>
          <w:rFonts w:ascii="Times" w:hAnsi="Times"/>
        </w:rPr>
      </w:pPr>
      <w:r>
        <w:rPr>
          <w:rFonts w:ascii="Times" w:hAnsi="Times"/>
        </w:rPr>
        <w:t>This area of the forecast captures all benefits and retirement costs</w:t>
      </w:r>
      <w:r w:rsidRPr="00287EEC">
        <w:rPr>
          <w:rFonts w:ascii="Times" w:hAnsi="Times"/>
        </w:rPr>
        <w:t>. These payments</w:t>
      </w:r>
      <w:r>
        <w:rPr>
          <w:rFonts w:ascii="Times" w:hAnsi="Times"/>
        </w:rPr>
        <w:t xml:space="preserve"> and HSA costs</w:t>
      </w:r>
      <w:r w:rsidRPr="00287EEC">
        <w:rPr>
          <w:rFonts w:ascii="Times" w:hAnsi="Times"/>
        </w:rPr>
        <w:t xml:space="preserve"> are included in the table below.</w:t>
      </w:r>
    </w:p>
    <w:p w14:paraId="273B5D2B" w14:textId="77777777" w:rsidR="00905EE5" w:rsidRPr="00905EE5" w:rsidRDefault="00905EE5" w:rsidP="00CE339E"/>
    <w:p w14:paraId="2B720D7E" w14:textId="23DCCF83" w:rsidR="007F53AE" w:rsidRPr="0096591C" w:rsidRDefault="00E22FA6" w:rsidP="00CE339E">
      <w:r w:rsidRPr="0096591C">
        <w:rPr>
          <w:b/>
        </w:rPr>
        <w:t>A)</w:t>
      </w:r>
      <w:r w:rsidR="00FE1A09" w:rsidRPr="0096591C">
        <w:rPr>
          <w:b/>
        </w:rPr>
        <w:tab/>
      </w:r>
      <w:r w:rsidR="00251D52">
        <w:rPr>
          <w:b/>
        </w:rPr>
        <w:t>STRS/SERS</w:t>
      </w:r>
    </w:p>
    <w:p w14:paraId="356ABF3B" w14:textId="5528558B" w:rsidR="00364378" w:rsidRDefault="00364378" w:rsidP="00364378">
      <w:pPr>
        <w:tabs>
          <w:tab w:val="left" w:pos="0"/>
        </w:tabs>
      </w:pPr>
      <w:bookmarkStart w:id="32" w:name="_Hlk179217560"/>
      <w:r w:rsidRPr="00364378">
        <w:t xml:space="preserve">As the law requires, the BOE pays 14% of all employee wages to STRS or SERS. </w:t>
      </w:r>
      <w:r w:rsidRPr="00364378">
        <w:rPr>
          <w:rStyle w:val="fontstyle01"/>
        </w:rPr>
        <w:t>The district is also required to pay SERS Surcharge, an additional employer charge based on the salaries of lower-paid members. It is exclusively used to fund</w:t>
      </w:r>
      <w:r w:rsidRPr="00364378">
        <w:rPr>
          <w:rFonts w:ascii="TimesNewRomanPSMT" w:hAnsi="TimesNewRomanPSMT"/>
          <w:color w:val="000000"/>
        </w:rPr>
        <w:t xml:space="preserve"> </w:t>
      </w:r>
      <w:r w:rsidRPr="00364378">
        <w:rPr>
          <w:rStyle w:val="fontstyle01"/>
        </w:rPr>
        <w:t>health care.</w:t>
      </w:r>
    </w:p>
    <w:bookmarkEnd w:id="32"/>
    <w:p w14:paraId="2DF743B1" w14:textId="77777777" w:rsidR="00905EE5" w:rsidRPr="0096591C" w:rsidRDefault="00905EE5" w:rsidP="00E22FA6"/>
    <w:p w14:paraId="01ECAF0D" w14:textId="77777777" w:rsidR="00002D23" w:rsidRPr="0096591C" w:rsidRDefault="00002D23" w:rsidP="00E22FA6">
      <w:pPr>
        <w:numPr>
          <w:ilvl w:val="0"/>
          <w:numId w:val="6"/>
        </w:numPr>
        <w:tabs>
          <w:tab w:val="left" w:pos="0"/>
        </w:tabs>
        <w:ind w:left="0" w:firstLine="0"/>
        <w:rPr>
          <w:b/>
        </w:rPr>
      </w:pPr>
      <w:r w:rsidRPr="0096591C">
        <w:rPr>
          <w:b/>
        </w:rPr>
        <w:t>Insurance</w:t>
      </w:r>
    </w:p>
    <w:p w14:paraId="70043FB7" w14:textId="1F585113" w:rsidR="00EC0BE4" w:rsidRPr="00132170" w:rsidRDefault="00BF4C35" w:rsidP="00EC0BE4">
      <w:pPr>
        <w:tabs>
          <w:tab w:val="left" w:pos="0"/>
        </w:tabs>
      </w:pPr>
      <w:r w:rsidRPr="00BF4C35">
        <w:t xml:space="preserve">The District participates in the Wyandot-Crawford Health Benefit Plan (Plan) to provide major medical, prescription and dental coverage for participating employees. The Plan is a public entity shared risk pool. The Plan pays all claims for covered participants and provides for stop loss coverage for claims in excess of $200,000. Major medical claims are reviewed by the District on a monthly basis and analyzed daily by the Plan administrator. </w:t>
      </w:r>
      <w:r w:rsidR="00EC0BE4" w:rsidRPr="00132170">
        <w:t xml:space="preserve">We </w:t>
      </w:r>
      <w:r w:rsidR="00B533C7">
        <w:t>expe</w:t>
      </w:r>
      <w:r w:rsidR="00A901D5">
        <w:t xml:space="preserve">rienced an increase in insurance cost of 9% </w:t>
      </w:r>
      <w:r w:rsidR="0074796D">
        <w:t>in</w:t>
      </w:r>
      <w:r w:rsidR="007726F0">
        <w:t xml:space="preserve"> FY2</w:t>
      </w:r>
      <w:r w:rsidR="003900DB">
        <w:t>5</w:t>
      </w:r>
      <w:r w:rsidR="00A901D5">
        <w:t>.</w:t>
      </w:r>
      <w:r w:rsidR="00EC0BE4" w:rsidRPr="00132170">
        <w:t xml:space="preserve"> </w:t>
      </w:r>
      <w:r w:rsidR="00A901D5">
        <w:t xml:space="preserve">We </w:t>
      </w:r>
      <w:r w:rsidR="00B533C7">
        <w:t>are estimating</w:t>
      </w:r>
      <w:r w:rsidR="00EC0BE4" w:rsidRPr="00132170">
        <w:t xml:space="preserve"> </w:t>
      </w:r>
      <w:r w:rsidR="007726F0">
        <w:t>5</w:t>
      </w:r>
      <w:r w:rsidR="00EC0BE4" w:rsidRPr="00132170">
        <w:t>% for FY2</w:t>
      </w:r>
      <w:r w:rsidR="000E3D26">
        <w:t>7</w:t>
      </w:r>
      <w:r w:rsidR="0029631F">
        <w:t>-</w:t>
      </w:r>
      <w:r w:rsidR="00364378">
        <w:t>3</w:t>
      </w:r>
      <w:r w:rsidR="000E3D26">
        <w:t>1</w:t>
      </w:r>
      <w:r w:rsidR="00EC0BE4" w:rsidRPr="00132170">
        <w:t xml:space="preserve"> which reflects trend and the likely increase in health care costs. This is based on our current e</w:t>
      </w:r>
      <w:r w:rsidR="00D83C82">
        <w:t>mployee census and claims data.</w:t>
      </w:r>
      <w:r w:rsidR="00EC0BE4" w:rsidRPr="00132170">
        <w:t xml:space="preserve"> Renewal occurs January 1 each year.</w:t>
      </w:r>
    </w:p>
    <w:p w14:paraId="6E0D3FF3" w14:textId="77777777" w:rsidR="00EC0BE4" w:rsidRPr="0096591C" w:rsidRDefault="00EC0BE4" w:rsidP="00EC0BE4">
      <w:pPr>
        <w:tabs>
          <w:tab w:val="left" w:pos="0"/>
        </w:tabs>
      </w:pPr>
    </w:p>
    <w:p w14:paraId="0D5B3069" w14:textId="77777777" w:rsidR="00002D23" w:rsidRPr="00B533C7" w:rsidRDefault="00002D23" w:rsidP="00E22FA6">
      <w:pPr>
        <w:numPr>
          <w:ilvl w:val="0"/>
          <w:numId w:val="6"/>
        </w:numPr>
        <w:tabs>
          <w:tab w:val="left" w:pos="0"/>
        </w:tabs>
        <w:ind w:left="0" w:firstLine="0"/>
        <w:rPr>
          <w:b/>
        </w:rPr>
      </w:pPr>
      <w:r w:rsidRPr="0096591C">
        <w:rPr>
          <w:b/>
        </w:rPr>
        <w:t>Workers Compensation</w:t>
      </w:r>
      <w:r w:rsidR="00643132" w:rsidRPr="0096591C">
        <w:rPr>
          <w:b/>
        </w:rPr>
        <w:t xml:space="preserve"> &amp; </w:t>
      </w:r>
      <w:r w:rsidR="00643132" w:rsidRPr="00B533C7">
        <w:rPr>
          <w:b/>
        </w:rPr>
        <w:t>Unemployment Compensation</w:t>
      </w:r>
    </w:p>
    <w:p w14:paraId="7E5CEB9B" w14:textId="585E010B" w:rsidR="0029631F" w:rsidRPr="0029631F" w:rsidRDefault="0029631F" w:rsidP="0029631F">
      <w:pPr>
        <w:tabs>
          <w:tab w:val="left" w:pos="0"/>
        </w:tabs>
        <w:rPr>
          <w:rFonts w:ascii="Times" w:hAnsi="Times"/>
        </w:rPr>
      </w:pPr>
      <w:r w:rsidRPr="00B533C7">
        <w:rPr>
          <w:rFonts w:ascii="Times" w:hAnsi="Times"/>
        </w:rPr>
        <w:t>Workers' Compensation is expected to be approximately</w:t>
      </w:r>
      <w:r w:rsidR="000E3D26">
        <w:rPr>
          <w:rFonts w:ascii="Times" w:hAnsi="Times"/>
        </w:rPr>
        <w:t xml:space="preserve"> 0</w:t>
      </w:r>
      <w:r w:rsidR="00364378">
        <w:rPr>
          <w:rFonts w:ascii="Times" w:hAnsi="Times"/>
        </w:rPr>
        <w:t>.3% for FY2</w:t>
      </w:r>
      <w:r w:rsidR="000E3D26">
        <w:rPr>
          <w:rFonts w:ascii="Times" w:hAnsi="Times"/>
        </w:rPr>
        <w:t>7</w:t>
      </w:r>
      <w:r w:rsidR="00016E11">
        <w:rPr>
          <w:rFonts w:ascii="Times" w:hAnsi="Times"/>
        </w:rPr>
        <w:t>-FY</w:t>
      </w:r>
      <w:r w:rsidR="00364378">
        <w:rPr>
          <w:rFonts w:ascii="Times" w:hAnsi="Times"/>
        </w:rPr>
        <w:t>3</w:t>
      </w:r>
      <w:r w:rsidR="000E3D26">
        <w:rPr>
          <w:rFonts w:ascii="Times" w:hAnsi="Times"/>
        </w:rPr>
        <w:t>1</w:t>
      </w:r>
      <w:r w:rsidRPr="00B533C7">
        <w:rPr>
          <w:rFonts w:ascii="Times" w:hAnsi="Times"/>
        </w:rPr>
        <w:t>. Unemployment is likely to remain at a shallow level FY2</w:t>
      </w:r>
      <w:r w:rsidR="000E3D26">
        <w:rPr>
          <w:rFonts w:ascii="Times" w:hAnsi="Times"/>
        </w:rPr>
        <w:t>7</w:t>
      </w:r>
      <w:r w:rsidRPr="00B533C7">
        <w:rPr>
          <w:rFonts w:ascii="Times" w:hAnsi="Times"/>
        </w:rPr>
        <w:t>-FY</w:t>
      </w:r>
      <w:r w:rsidR="00364378">
        <w:rPr>
          <w:rFonts w:ascii="Times" w:hAnsi="Times"/>
        </w:rPr>
        <w:t>3</w:t>
      </w:r>
      <w:r w:rsidR="000E3D26">
        <w:rPr>
          <w:rFonts w:ascii="Times" w:hAnsi="Times"/>
        </w:rPr>
        <w:t>1</w:t>
      </w:r>
      <w:r w:rsidRPr="00B533C7">
        <w:rPr>
          <w:rFonts w:ascii="Times" w:hAnsi="Times"/>
        </w:rPr>
        <w:t>. The district is a direct reimbursement employer, meaning unemployment costs are only incurred and due if we have eligible employees and draw unemployment.</w:t>
      </w:r>
    </w:p>
    <w:p w14:paraId="4DC793BE" w14:textId="77777777" w:rsidR="00EC0BE4" w:rsidRPr="0096591C" w:rsidRDefault="00EC0BE4">
      <w:pPr>
        <w:tabs>
          <w:tab w:val="left" w:pos="0"/>
        </w:tabs>
      </w:pPr>
    </w:p>
    <w:p w14:paraId="7C7BB25E" w14:textId="77777777" w:rsidR="00002D23" w:rsidRPr="0096591C" w:rsidRDefault="00002D23" w:rsidP="00E22FA6">
      <w:pPr>
        <w:numPr>
          <w:ilvl w:val="0"/>
          <w:numId w:val="6"/>
        </w:numPr>
        <w:tabs>
          <w:tab w:val="left" w:pos="0"/>
        </w:tabs>
        <w:ind w:left="0" w:firstLine="0"/>
        <w:rPr>
          <w:b/>
        </w:rPr>
      </w:pPr>
      <w:r w:rsidRPr="0096591C">
        <w:rPr>
          <w:b/>
        </w:rPr>
        <w:t>Medicare</w:t>
      </w:r>
    </w:p>
    <w:p w14:paraId="3076B1E4" w14:textId="77777777" w:rsidR="0029631F" w:rsidRPr="0029631F" w:rsidRDefault="0029631F" w:rsidP="0029631F">
      <w:pPr>
        <w:rPr>
          <w:rFonts w:ascii="Times" w:hAnsi="Times"/>
        </w:rPr>
      </w:pPr>
      <w:r w:rsidRPr="0029631F">
        <w:rPr>
          <w:rFonts w:ascii="Times" w:hAnsi="Times"/>
        </w:rPr>
        <w:t>Medicare will continue to increase at the rate of wage increases and as new employees are hired. Contributions are 1.45% for all new employees to the district on or after April 1, 1986. These amounts are growing at the general growth rate of wages.</w:t>
      </w:r>
    </w:p>
    <w:p w14:paraId="5493477A" w14:textId="77777777" w:rsidR="001B2D2F" w:rsidRDefault="001B2D2F">
      <w:pPr>
        <w:tabs>
          <w:tab w:val="left" w:pos="0"/>
        </w:tabs>
        <w:rPr>
          <w:b/>
        </w:rPr>
      </w:pPr>
    </w:p>
    <w:p w14:paraId="3129F062" w14:textId="77777777" w:rsidR="00002D23" w:rsidRPr="0096591C" w:rsidRDefault="005E0136">
      <w:pPr>
        <w:tabs>
          <w:tab w:val="left" w:pos="0"/>
        </w:tabs>
        <w:rPr>
          <w:b/>
        </w:rPr>
      </w:pPr>
      <w:r w:rsidRPr="0096591C">
        <w:rPr>
          <w:b/>
        </w:rPr>
        <w:t xml:space="preserve">Estimated </w:t>
      </w:r>
      <w:r w:rsidR="00002D23" w:rsidRPr="0096591C">
        <w:rPr>
          <w:b/>
        </w:rPr>
        <w:t>Fringe Benefits</w:t>
      </w:r>
      <w:r w:rsidR="00EE3628" w:rsidRPr="0096591C">
        <w:rPr>
          <w:b/>
        </w:rPr>
        <w:t xml:space="preserve"> – Line #3.020</w:t>
      </w:r>
    </w:p>
    <w:p w14:paraId="57DE5EED" w14:textId="3F8D9AD2" w:rsidR="0047561C" w:rsidRDefault="0047561C">
      <w:pPr>
        <w:tabs>
          <w:tab w:val="left" w:pos="0"/>
        </w:tabs>
        <w:rPr>
          <w:b/>
        </w:rPr>
      </w:pPr>
    </w:p>
    <w:p w14:paraId="4CE20904" w14:textId="3C643CAE" w:rsidR="0064214E" w:rsidRDefault="007C2CF0">
      <w:pPr>
        <w:tabs>
          <w:tab w:val="left" w:pos="0"/>
        </w:tabs>
        <w:rPr>
          <w:b/>
        </w:rPr>
      </w:pPr>
      <w:r>
        <w:rPr>
          <w:b/>
        </w:rPr>
        <w:object w:dxaOrig="13260" w:dyaOrig="2205" w14:anchorId="0CFDD701">
          <v:shape id="_x0000_i1039" type="#_x0000_t75" style="width:540pt;height:110.25pt" o:ole="">
            <v:imagedata r:id="rId40" o:title=""/>
          </v:shape>
          <o:OLEObject Type="Link" ProgID="Excel.Sheet.12" ShapeID="_x0000_i1039" DrawAspect="Content" r:id="rId41" UpdateMode="Always">
            <o:LinkType>EnhancedMetaFile</o:LinkType>
            <o:LockedField>false</o:LockedField>
          </o:OLEObject>
        </w:object>
      </w:r>
    </w:p>
    <w:p w14:paraId="7499DF57" w14:textId="77777777" w:rsidR="0047561C" w:rsidRDefault="0047561C">
      <w:pPr>
        <w:tabs>
          <w:tab w:val="left" w:pos="0"/>
        </w:tabs>
        <w:rPr>
          <w:b/>
        </w:rPr>
      </w:pPr>
    </w:p>
    <w:p w14:paraId="40281FD1" w14:textId="77777777" w:rsidR="009C0175" w:rsidRPr="0096591C" w:rsidRDefault="009C0175">
      <w:pPr>
        <w:tabs>
          <w:tab w:val="left" w:pos="0"/>
        </w:tabs>
        <w:rPr>
          <w:b/>
        </w:rPr>
      </w:pPr>
    </w:p>
    <w:p w14:paraId="7FE35E1E" w14:textId="77777777" w:rsidR="00400606" w:rsidRDefault="00002D23">
      <w:pPr>
        <w:tabs>
          <w:tab w:val="left" w:pos="0"/>
        </w:tabs>
        <w:rPr>
          <w:b/>
        </w:rPr>
      </w:pPr>
      <w:r w:rsidRPr="0096591C">
        <w:rPr>
          <w:b/>
        </w:rPr>
        <w:lastRenderedPageBreak/>
        <w:t>Purchased Services – Line #3.030</w:t>
      </w:r>
    </w:p>
    <w:p w14:paraId="7E35CFB5" w14:textId="77777777" w:rsidR="0047561C" w:rsidRDefault="0047561C" w:rsidP="0047561C">
      <w:pPr>
        <w:tabs>
          <w:tab w:val="left" w:pos="0"/>
        </w:tabs>
      </w:pPr>
      <w:r w:rsidRPr="007F7828">
        <w:t>College Credit Pus, excess costs and other tuition costs will continue to draw funds away from the district and have been adjusted based on historical trend.</w:t>
      </w:r>
      <w:r>
        <w:t xml:space="preserve">  We have seen an increase in costs with the ESC due to the increase in Opportunity Center services.  We have assumed a 3% increase each year to account for staffing costs and inflation.</w:t>
      </w:r>
    </w:p>
    <w:p w14:paraId="716E3B80" w14:textId="77777777" w:rsidR="0047561C" w:rsidRDefault="0047561C" w:rsidP="0047561C">
      <w:pPr>
        <w:tabs>
          <w:tab w:val="left" w:pos="0"/>
        </w:tabs>
      </w:pPr>
    </w:p>
    <w:p w14:paraId="535A7EE1" w14:textId="740C6B8C" w:rsidR="0047561C" w:rsidRDefault="0047561C" w:rsidP="0047561C">
      <w:pPr>
        <w:tabs>
          <w:tab w:val="left" w:pos="0"/>
        </w:tabs>
      </w:pPr>
      <w:bookmarkStart w:id="33" w:name="_Hlk179910756"/>
      <w:r w:rsidRPr="00D5298A">
        <w:t xml:space="preserve">In FY26 there </w:t>
      </w:r>
      <w:r w:rsidR="009C0175">
        <w:t>was</w:t>
      </w:r>
      <w:r w:rsidRPr="00D5298A">
        <w:t xml:space="preserve"> a new electric Capacity Charge that will be assessed on all electric bills to help expand Ohio’s electric generating ability.  This charge will begin June 2025 and end June 2026.  It is anticipated it will increase electric costs by 20% annually for just that twelve (12) month </w:t>
      </w:r>
      <w:bookmarkEnd w:id="33"/>
      <w:r w:rsidRPr="00D5298A">
        <w:t>period</w:t>
      </w:r>
      <w:r w:rsidR="000E3D26">
        <w:t xml:space="preserve"> and then return to a 4% annual increase for FY27 to FY31. </w:t>
      </w:r>
    </w:p>
    <w:p w14:paraId="27841BFE" w14:textId="77777777" w:rsidR="0047561C" w:rsidRDefault="0047561C" w:rsidP="0047561C">
      <w:pPr>
        <w:tabs>
          <w:tab w:val="left" w:pos="0"/>
        </w:tabs>
      </w:pPr>
    </w:p>
    <w:p w14:paraId="64B61D7A" w14:textId="2E9854B1" w:rsidR="0064214E" w:rsidRPr="0096591C" w:rsidRDefault="007C2CF0" w:rsidP="0047561C">
      <w:pPr>
        <w:tabs>
          <w:tab w:val="left" w:pos="0"/>
        </w:tabs>
      </w:pPr>
      <w:r>
        <w:object w:dxaOrig="13260" w:dyaOrig="2460" w14:anchorId="769CEA18">
          <v:shape id="_x0000_i1040" type="#_x0000_t75" style="width:540pt;height:123pt" o:ole="">
            <v:imagedata r:id="rId42" o:title=""/>
          </v:shape>
          <o:OLEObject Type="Link" ProgID="Excel.Sheet.12" ShapeID="_x0000_i1040" DrawAspect="Content" r:id="rId43" UpdateMode="Always">
            <o:LinkType>EnhancedMetaFile</o:LinkType>
            <o:LockedField>false</o:LockedField>
          </o:OLEObject>
        </w:object>
      </w:r>
    </w:p>
    <w:p w14:paraId="703F2864" w14:textId="77777777" w:rsidR="00A63BD4" w:rsidRPr="0096591C" w:rsidRDefault="00A63BD4" w:rsidP="00251D52">
      <w:pPr>
        <w:tabs>
          <w:tab w:val="left" w:pos="0"/>
        </w:tabs>
        <w:rPr>
          <w:b/>
        </w:rPr>
      </w:pPr>
    </w:p>
    <w:p w14:paraId="41FD7CAA" w14:textId="77777777" w:rsidR="00002D23" w:rsidRPr="0096591C" w:rsidRDefault="00002D23" w:rsidP="008A0603">
      <w:pPr>
        <w:tabs>
          <w:tab w:val="left" w:pos="0"/>
        </w:tabs>
        <w:rPr>
          <w:b/>
        </w:rPr>
      </w:pPr>
      <w:r w:rsidRPr="0096591C">
        <w:rPr>
          <w:b/>
        </w:rPr>
        <w:t>Supplies and Materials – Line #3.040</w:t>
      </w:r>
    </w:p>
    <w:p w14:paraId="1F5654E1" w14:textId="41CAE630" w:rsidR="00F65F83" w:rsidRDefault="00715A39">
      <w:pPr>
        <w:tabs>
          <w:tab w:val="left" w:pos="0"/>
        </w:tabs>
        <w:rPr>
          <w:rFonts w:ascii="Times" w:hAnsi="Times"/>
        </w:rPr>
      </w:pPr>
      <w:r>
        <w:rPr>
          <w:rFonts w:ascii="Times" w:hAnsi="Times"/>
        </w:rPr>
        <w:t xml:space="preserve">Expenses include curricular supplies, testing supplies, copy paper, maintenance, custodial supplies, materials, and bus fuel.  </w:t>
      </w:r>
    </w:p>
    <w:p w14:paraId="1FED8426" w14:textId="77777777" w:rsidR="00565BF5" w:rsidRPr="00F65F83" w:rsidRDefault="00565BF5">
      <w:pPr>
        <w:tabs>
          <w:tab w:val="left" w:pos="0"/>
        </w:tabs>
        <w:rPr>
          <w:rFonts w:ascii="Times" w:hAnsi="Times"/>
        </w:rPr>
      </w:pPr>
    </w:p>
    <w:p w14:paraId="115E8BA8" w14:textId="51500823" w:rsidR="0088312D" w:rsidRPr="0096591C" w:rsidRDefault="007C2CF0">
      <w:pPr>
        <w:tabs>
          <w:tab w:val="left" w:pos="0"/>
        </w:tabs>
        <w:rPr>
          <w:b/>
        </w:rPr>
      </w:pPr>
      <w:r>
        <w:rPr>
          <w:b/>
        </w:rPr>
        <w:object w:dxaOrig="13260" w:dyaOrig="1905" w14:anchorId="367A982D">
          <v:shape id="_x0000_i1041" type="#_x0000_t75" style="width:540pt;height:95.25pt" o:ole="">
            <v:imagedata r:id="rId44" o:title=""/>
          </v:shape>
          <o:OLEObject Type="Link" ProgID="Excel.Sheet.12" ShapeID="_x0000_i1041" DrawAspect="Content" r:id="rId45" UpdateMode="Always">
            <o:LinkType>EnhancedMetaFile</o:LinkType>
            <o:LockedField>false</o:LockedField>
          </o:OLEObject>
        </w:object>
      </w:r>
    </w:p>
    <w:p w14:paraId="64408463" w14:textId="77777777" w:rsidR="001B2D2F" w:rsidRDefault="001B2D2F">
      <w:pPr>
        <w:tabs>
          <w:tab w:val="left" w:pos="0"/>
        </w:tabs>
        <w:rPr>
          <w:b/>
        </w:rPr>
      </w:pPr>
    </w:p>
    <w:p w14:paraId="1A23C47A" w14:textId="77777777" w:rsidR="00EC0BE4" w:rsidRPr="00EC0BE4" w:rsidRDefault="00EC0BE4" w:rsidP="00EC0BE4">
      <w:pPr>
        <w:tabs>
          <w:tab w:val="left" w:pos="0"/>
        </w:tabs>
        <w:rPr>
          <w:rFonts w:ascii="Times" w:hAnsi="Times"/>
          <w:b/>
        </w:rPr>
      </w:pPr>
      <w:r w:rsidRPr="00EC0BE4">
        <w:rPr>
          <w:rFonts w:ascii="Times" w:hAnsi="Times"/>
          <w:b/>
        </w:rPr>
        <w:t>Equipment – Line # 3.050</w:t>
      </w:r>
    </w:p>
    <w:p w14:paraId="69352F1F" w14:textId="3ED29BE3" w:rsidR="00715A39" w:rsidRDefault="00715A39" w:rsidP="00715A39">
      <w:pPr>
        <w:tabs>
          <w:tab w:val="left" w:pos="0"/>
        </w:tabs>
        <w:rPr>
          <w:rFonts w:ascii="Times" w:hAnsi="Times"/>
        </w:rPr>
      </w:pPr>
      <w:r>
        <w:rPr>
          <w:rFonts w:ascii="Times" w:hAnsi="Times"/>
        </w:rPr>
        <w:t>The District does not anticipate costs increasing significantly in this line because the Permanent Improvement Fund pays most capital outlay</w:t>
      </w:r>
      <w:r w:rsidRPr="00096966">
        <w:rPr>
          <w:rFonts w:ascii="Times" w:hAnsi="Times"/>
        </w:rPr>
        <w:t>.</w:t>
      </w:r>
    </w:p>
    <w:p w14:paraId="30B326A3" w14:textId="77777777" w:rsidR="00565BF5" w:rsidRDefault="00565BF5" w:rsidP="00715A39">
      <w:pPr>
        <w:tabs>
          <w:tab w:val="left" w:pos="0"/>
        </w:tabs>
        <w:rPr>
          <w:rFonts w:ascii="Times" w:hAnsi="Times"/>
          <w:b/>
        </w:rPr>
      </w:pPr>
    </w:p>
    <w:p w14:paraId="385D97F2" w14:textId="64D934DC" w:rsidR="00C1596E" w:rsidRPr="0096591C" w:rsidRDefault="007C2CF0">
      <w:pPr>
        <w:tabs>
          <w:tab w:val="left" w:pos="0"/>
        </w:tabs>
        <w:rPr>
          <w:b/>
        </w:rPr>
      </w:pPr>
      <w:r>
        <w:rPr>
          <w:b/>
        </w:rPr>
        <w:object w:dxaOrig="13260" w:dyaOrig="960" w14:anchorId="76DBE9FC">
          <v:shape id="_x0000_i1042" type="#_x0000_t75" style="width:540pt;height:48pt" o:ole="">
            <v:imagedata r:id="rId46" o:title=""/>
          </v:shape>
          <o:OLEObject Type="Link" ProgID="Excel.Sheet.12" ShapeID="_x0000_i1042" DrawAspect="Content" r:id="rId47" UpdateMode="Always">
            <o:LinkType>EnhancedMetaFile</o:LinkType>
            <o:LockedField>false</o:LockedField>
          </o:OLEObject>
        </w:object>
      </w:r>
    </w:p>
    <w:p w14:paraId="4903B8C2" w14:textId="77777777" w:rsidR="001D5091" w:rsidRDefault="001D5091">
      <w:pPr>
        <w:tabs>
          <w:tab w:val="left" w:pos="0"/>
        </w:tabs>
        <w:rPr>
          <w:b/>
        </w:rPr>
      </w:pPr>
    </w:p>
    <w:p w14:paraId="2ED3D600" w14:textId="77777777" w:rsidR="00002D23" w:rsidRPr="0096591C" w:rsidRDefault="00002D23">
      <w:pPr>
        <w:tabs>
          <w:tab w:val="left" w:pos="0"/>
        </w:tabs>
        <w:rPr>
          <w:b/>
        </w:rPr>
      </w:pPr>
      <w:r w:rsidRPr="0096591C">
        <w:rPr>
          <w:b/>
        </w:rPr>
        <w:t>Other Expenses – Line #4.300</w:t>
      </w:r>
    </w:p>
    <w:p w14:paraId="0FC58A94" w14:textId="77777777" w:rsidR="00715A39" w:rsidRPr="0019270F" w:rsidRDefault="00715A39" w:rsidP="00715A39">
      <w:pPr>
        <w:tabs>
          <w:tab w:val="left" w:pos="0"/>
        </w:tabs>
        <w:rPr>
          <w:rFonts w:ascii="Times" w:hAnsi="Times"/>
        </w:rPr>
      </w:pPr>
      <w:r>
        <w:rPr>
          <w:rFonts w:ascii="Times" w:hAnsi="Times"/>
        </w:rPr>
        <w:t>The category of Other Expenses consists primarily of Auditor &amp; Treasurer fees, our annual audit, and other miscellaneous expenses. A rate of 1% increase is projected in this area.</w:t>
      </w:r>
    </w:p>
    <w:p w14:paraId="28621BAB" w14:textId="77777777" w:rsidR="004E4AF3" w:rsidRPr="0096591C" w:rsidRDefault="004E4AF3">
      <w:pPr>
        <w:tabs>
          <w:tab w:val="left" w:pos="0"/>
        </w:tabs>
      </w:pPr>
    </w:p>
    <w:p w14:paraId="57A52579" w14:textId="01106857" w:rsidR="0088312D" w:rsidRDefault="007C2CF0">
      <w:pPr>
        <w:tabs>
          <w:tab w:val="left" w:pos="0"/>
        </w:tabs>
        <w:rPr>
          <w:b/>
        </w:rPr>
      </w:pPr>
      <w:r>
        <w:rPr>
          <w:b/>
        </w:rPr>
        <w:object w:dxaOrig="13260" w:dyaOrig="1560" w14:anchorId="4A570549">
          <v:shape id="_x0000_i1043" type="#_x0000_t75" style="width:540pt;height:78pt" o:ole="">
            <v:imagedata r:id="rId48" o:title=""/>
          </v:shape>
          <o:OLEObject Type="Link" ProgID="Excel.Sheet.12" ShapeID="_x0000_i1043" DrawAspect="Content" r:id="rId49" UpdateMode="Always">
            <o:LinkType>EnhancedMetaFile</o:LinkType>
            <o:LockedField>false</o:LockedField>
          </o:OLEObject>
        </w:object>
      </w:r>
    </w:p>
    <w:p w14:paraId="761AB6E8" w14:textId="77777777" w:rsidR="000510CB" w:rsidRDefault="000510CB">
      <w:pPr>
        <w:tabs>
          <w:tab w:val="left" w:pos="0"/>
        </w:tabs>
        <w:rPr>
          <w:b/>
        </w:rPr>
      </w:pPr>
    </w:p>
    <w:p w14:paraId="79E7DDE9" w14:textId="1220938E" w:rsidR="004C0B61" w:rsidRPr="004C0B61" w:rsidRDefault="004C0B61" w:rsidP="004C0B61">
      <w:pPr>
        <w:tabs>
          <w:tab w:val="left" w:pos="0"/>
        </w:tabs>
        <w:rPr>
          <w:rFonts w:ascii="Times" w:hAnsi="Times"/>
          <w:b/>
        </w:rPr>
      </w:pPr>
      <w:r w:rsidRPr="004C0B61">
        <w:rPr>
          <w:rFonts w:ascii="Times" w:hAnsi="Times"/>
          <w:b/>
        </w:rPr>
        <w:t>Transfers Out/Advances Out – Line</w:t>
      </w:r>
      <w:r w:rsidR="000E3D26">
        <w:rPr>
          <w:rFonts w:ascii="Times" w:hAnsi="Times"/>
          <w:b/>
        </w:rPr>
        <w:t xml:space="preserve"> </w:t>
      </w:r>
      <w:r w:rsidRPr="004C0B61">
        <w:rPr>
          <w:rFonts w:ascii="Times" w:hAnsi="Times"/>
          <w:b/>
        </w:rPr>
        <w:t>#5.010</w:t>
      </w:r>
    </w:p>
    <w:p w14:paraId="4F3928C2" w14:textId="77FA02A3" w:rsidR="00B05008" w:rsidRPr="00B24011" w:rsidRDefault="00B05008">
      <w:pPr>
        <w:tabs>
          <w:tab w:val="left" w:pos="0"/>
        </w:tabs>
        <w:rPr>
          <w:rFonts w:ascii="Times" w:hAnsi="Times"/>
        </w:rPr>
      </w:pPr>
      <w:r w:rsidRPr="00BA6CC3">
        <w:rPr>
          <w:rFonts w:ascii="Times" w:hAnsi="Times"/>
        </w:rPr>
        <w:t xml:space="preserve">Amounts in this category reflect transfers from the general fund to the following funds, Permanent </w:t>
      </w:r>
      <w:r w:rsidRPr="00B24011">
        <w:rPr>
          <w:rFonts w:ascii="Times" w:hAnsi="Times"/>
        </w:rPr>
        <w:t xml:space="preserve">Improvement, Severance, </w:t>
      </w:r>
      <w:r w:rsidR="002E25BB">
        <w:rPr>
          <w:rFonts w:ascii="Times" w:hAnsi="Times"/>
        </w:rPr>
        <w:t xml:space="preserve">and </w:t>
      </w:r>
      <w:r w:rsidRPr="00B24011">
        <w:rPr>
          <w:rFonts w:ascii="Times" w:hAnsi="Times"/>
        </w:rPr>
        <w:t xml:space="preserve">High School Athletics. The District does not have a voter approved Permanent Improvement Levy, but the required year-end balance in the Permanent Improvement Fund, per House Bill 59, is approximately $360,000. </w:t>
      </w:r>
      <w:r w:rsidR="007B22E2">
        <w:rPr>
          <w:rFonts w:ascii="Times" w:hAnsi="Times"/>
        </w:rPr>
        <w:t>We are transferr</w:t>
      </w:r>
      <w:r w:rsidR="000E3D26">
        <w:rPr>
          <w:rFonts w:ascii="Times" w:hAnsi="Times"/>
        </w:rPr>
        <w:t>ed</w:t>
      </w:r>
      <w:r w:rsidR="007B22E2">
        <w:rPr>
          <w:rFonts w:ascii="Times" w:hAnsi="Times"/>
        </w:rPr>
        <w:t xml:space="preserve"> money to the 070 Fund in F</w:t>
      </w:r>
      <w:r w:rsidR="000E3D26">
        <w:rPr>
          <w:rFonts w:ascii="Times" w:hAnsi="Times"/>
        </w:rPr>
        <w:t>Y</w:t>
      </w:r>
      <w:r w:rsidR="007B22E2">
        <w:rPr>
          <w:rFonts w:ascii="Times" w:hAnsi="Times"/>
        </w:rPr>
        <w:t>25 to cover</w:t>
      </w:r>
      <w:r w:rsidR="000E3D26">
        <w:rPr>
          <w:rFonts w:ascii="Times" w:hAnsi="Times"/>
        </w:rPr>
        <w:t xml:space="preserve"> our</w:t>
      </w:r>
      <w:r w:rsidR="007B22E2">
        <w:rPr>
          <w:rFonts w:ascii="Times" w:hAnsi="Times"/>
        </w:rPr>
        <w:t xml:space="preserve"> remaining bus garage lease payments. </w:t>
      </w:r>
      <w:r w:rsidR="000E3D26">
        <w:rPr>
          <w:rFonts w:ascii="Times" w:hAnsi="Times"/>
        </w:rPr>
        <w:t>I</w:t>
      </w:r>
      <w:r w:rsidR="007B22E2">
        <w:rPr>
          <w:rFonts w:ascii="Times" w:hAnsi="Times"/>
        </w:rPr>
        <w:t>n addition to the $360,000 noted for the Permanent Improvement Fund we are transferring $240,000 a year starting in FY26 to cover other capital needs.</w:t>
      </w:r>
    </w:p>
    <w:p w14:paraId="5EDD70B8" w14:textId="77777777" w:rsidR="009E1669" w:rsidRPr="00966392" w:rsidRDefault="009E1669">
      <w:pPr>
        <w:tabs>
          <w:tab w:val="left" w:pos="0"/>
        </w:tabs>
        <w:rPr>
          <w:rFonts w:ascii="Times" w:hAnsi="Times"/>
          <w:highlight w:val="yellow"/>
        </w:rPr>
      </w:pPr>
    </w:p>
    <w:p w14:paraId="00CFD2B9" w14:textId="73B0CFBE" w:rsidR="001D5091" w:rsidRDefault="002E25BB">
      <w:pPr>
        <w:tabs>
          <w:tab w:val="left" w:pos="0"/>
        </w:tabs>
        <w:rPr>
          <w:rFonts w:ascii="Times" w:hAnsi="Times"/>
        </w:rPr>
      </w:pPr>
      <w:r w:rsidRPr="002E25BB">
        <w:rPr>
          <w:rFonts w:ascii="Times" w:hAnsi="Times"/>
        </w:rPr>
        <w:t>Severance costs are also included as operating transfers out to minimize the impact on the general fund for retirements and other expenses associated with the termination of employment.</w:t>
      </w:r>
    </w:p>
    <w:p w14:paraId="611E9A2B" w14:textId="77777777" w:rsidR="002E25BB" w:rsidRDefault="002E25BB">
      <w:pPr>
        <w:tabs>
          <w:tab w:val="left" w:pos="0"/>
        </w:tabs>
        <w:rPr>
          <w:b/>
        </w:rPr>
      </w:pPr>
    </w:p>
    <w:p w14:paraId="5F72E004" w14:textId="0DBAEDED" w:rsidR="0088312D" w:rsidRDefault="007C2CF0">
      <w:pPr>
        <w:tabs>
          <w:tab w:val="left" w:pos="0"/>
        </w:tabs>
        <w:rPr>
          <w:b/>
        </w:rPr>
      </w:pPr>
      <w:r>
        <w:rPr>
          <w:b/>
        </w:rPr>
        <w:object w:dxaOrig="13260" w:dyaOrig="1305" w14:anchorId="747D0566">
          <v:shape id="_x0000_i1044" type="#_x0000_t75" style="width:540pt;height:65.25pt" o:ole="">
            <v:imagedata r:id="rId50" o:title=""/>
          </v:shape>
          <o:OLEObject Type="Link" ProgID="Excel.Sheet.12" ShapeID="_x0000_i1044" DrawAspect="Content" r:id="rId51" UpdateMode="Always">
            <o:LinkType>EnhancedMetaFile</o:LinkType>
            <o:LockedField>false</o:LockedField>
          </o:OLEObject>
        </w:object>
      </w:r>
    </w:p>
    <w:p w14:paraId="396759FD" w14:textId="77777777" w:rsidR="004C0B61" w:rsidRDefault="004C0B61">
      <w:pPr>
        <w:tabs>
          <w:tab w:val="left" w:pos="0"/>
        </w:tabs>
        <w:rPr>
          <w:b/>
        </w:rPr>
      </w:pPr>
    </w:p>
    <w:p w14:paraId="4CF409D7" w14:textId="4D442DA3" w:rsidR="004C0B61" w:rsidRPr="004C0B61" w:rsidRDefault="004C0B61" w:rsidP="004C0B61">
      <w:pPr>
        <w:tabs>
          <w:tab w:val="left" w:pos="0"/>
        </w:tabs>
        <w:rPr>
          <w:rFonts w:ascii="Times" w:hAnsi="Times"/>
          <w:b/>
        </w:rPr>
      </w:pPr>
      <w:r w:rsidRPr="004C0B61">
        <w:rPr>
          <w:rFonts w:ascii="Times" w:hAnsi="Times"/>
          <w:b/>
        </w:rPr>
        <w:t>Encumbrances –Line</w:t>
      </w:r>
      <w:r w:rsidR="000E3D26">
        <w:rPr>
          <w:rFonts w:ascii="Times" w:hAnsi="Times"/>
          <w:b/>
        </w:rPr>
        <w:t xml:space="preserve"> </w:t>
      </w:r>
      <w:r w:rsidRPr="004C0B61">
        <w:rPr>
          <w:rFonts w:ascii="Times" w:hAnsi="Times"/>
          <w:b/>
        </w:rPr>
        <w:t>#8.010</w:t>
      </w:r>
    </w:p>
    <w:p w14:paraId="492A4928" w14:textId="77777777" w:rsidR="00BD2B35" w:rsidRDefault="00BD2B35" w:rsidP="00BD2B35">
      <w:pPr>
        <w:tabs>
          <w:tab w:val="left" w:pos="0"/>
        </w:tabs>
        <w:rPr>
          <w:rFonts w:ascii="Times" w:hAnsi="Times"/>
        </w:rPr>
      </w:pPr>
      <w:r>
        <w:rPr>
          <w:rFonts w:ascii="Times" w:hAnsi="Times"/>
        </w:rPr>
        <w:t xml:space="preserve">These are outstanding purchase orders that have not been approved for payment as the goods were not received in the fiscal year in which they were ordered.  </w:t>
      </w:r>
    </w:p>
    <w:p w14:paraId="76456B61" w14:textId="3E11F578" w:rsidR="004C0B61" w:rsidRDefault="004C0B61">
      <w:pPr>
        <w:tabs>
          <w:tab w:val="left" w:pos="0"/>
        </w:tabs>
        <w:rPr>
          <w:b/>
        </w:rPr>
      </w:pPr>
    </w:p>
    <w:p w14:paraId="5202BF81" w14:textId="5A474F06" w:rsidR="0088312D" w:rsidRDefault="007C2CF0">
      <w:pPr>
        <w:tabs>
          <w:tab w:val="left" w:pos="0"/>
        </w:tabs>
        <w:rPr>
          <w:b/>
        </w:rPr>
      </w:pPr>
      <w:r>
        <w:rPr>
          <w:b/>
        </w:rPr>
        <w:object w:dxaOrig="13260" w:dyaOrig="660" w14:anchorId="4D1D8766">
          <v:shape id="_x0000_i1045" type="#_x0000_t75" style="width:540pt;height:33pt" o:ole="">
            <v:imagedata r:id="rId52" o:title=""/>
          </v:shape>
          <o:OLEObject Type="Link" ProgID="Excel.Sheet.12" ShapeID="_x0000_i1045" DrawAspect="Content" r:id="rId53" UpdateMode="Always">
            <o:LinkType>EnhancedMetaFile</o:LinkType>
            <o:LockedField>false</o:LockedField>
          </o:OLEObject>
        </w:object>
      </w:r>
    </w:p>
    <w:p w14:paraId="7A8A5917" w14:textId="77777777" w:rsidR="00014DC0" w:rsidRDefault="00014DC0">
      <w:pPr>
        <w:tabs>
          <w:tab w:val="left" w:pos="0"/>
        </w:tabs>
        <w:rPr>
          <w:b/>
        </w:rPr>
      </w:pPr>
    </w:p>
    <w:p w14:paraId="3238E349" w14:textId="77777777" w:rsidR="000E3D26" w:rsidRPr="000E3D26" w:rsidRDefault="000E3D26" w:rsidP="000E3D26">
      <w:pPr>
        <w:tabs>
          <w:tab w:val="left" w:pos="0"/>
        </w:tabs>
        <w:rPr>
          <w:rFonts w:ascii="Times" w:hAnsi="Times"/>
          <w:b/>
        </w:rPr>
      </w:pPr>
      <w:r w:rsidRPr="000E3D26">
        <w:rPr>
          <w:rFonts w:ascii="Times" w:hAnsi="Times"/>
          <w:b/>
        </w:rPr>
        <w:t>Total Expenditure Categories Actual Fiscal Year 2024 through Fiscal Year 2026 and Estimated Fiscal Year 2027 through Fiscal Year 2031</w:t>
      </w:r>
    </w:p>
    <w:p w14:paraId="20AA7E27" w14:textId="77777777" w:rsidR="007F6FD4" w:rsidRDefault="007F6FD4" w:rsidP="007F6FD4">
      <w:pPr>
        <w:tabs>
          <w:tab w:val="left" w:pos="0"/>
        </w:tabs>
        <w:rPr>
          <w:rFonts w:ascii="Times" w:hAnsi="Times"/>
        </w:rPr>
      </w:pPr>
      <w:r>
        <w:rPr>
          <w:rFonts w:ascii="Times" w:hAnsi="Times"/>
        </w:rPr>
        <w:t>As the graph on the following page indicates, we have diligently contained costs due to lower and flat state revenues. We control our expenses while balancing students' academic needs to enable them to excel and perform well on state performance standards.</w:t>
      </w:r>
    </w:p>
    <w:p w14:paraId="47B659A9" w14:textId="77777777" w:rsidR="004E4AF3" w:rsidRPr="0096591C" w:rsidRDefault="004E4AF3">
      <w:pPr>
        <w:tabs>
          <w:tab w:val="left" w:pos="0"/>
        </w:tabs>
      </w:pPr>
    </w:p>
    <w:p w14:paraId="399A8AC7" w14:textId="17049458" w:rsidR="009C3CE5" w:rsidRDefault="009C3CE5" w:rsidP="004C0B61">
      <w:pPr>
        <w:tabs>
          <w:tab w:val="left" w:pos="0"/>
        </w:tabs>
        <w:jc w:val="center"/>
        <w:rPr>
          <w:noProof/>
        </w:rPr>
      </w:pPr>
    </w:p>
    <w:p w14:paraId="68083F82" w14:textId="052ABB2F" w:rsidR="00FF416F" w:rsidRDefault="00F9305C" w:rsidP="004C0B61">
      <w:pPr>
        <w:tabs>
          <w:tab w:val="left" w:pos="0"/>
        </w:tabs>
        <w:jc w:val="center"/>
        <w:rPr>
          <w:noProof/>
        </w:rPr>
      </w:pPr>
      <w:r>
        <w:rPr>
          <w:noProof/>
        </w:rPr>
        <w:object w:dxaOrig="13725" w:dyaOrig="6915" w14:anchorId="72F7B2EC">
          <v:shape id="_x0000_i1046" type="#_x0000_t75" style="width:484.5pt;height:272.25pt" o:ole="">
            <v:imagedata r:id="rId54" o:title=""/>
          </v:shape>
          <o:OLEObject Type="Link" ProgID="Excel.Sheet.12" ShapeID="_x0000_i1046" DrawAspect="Content" r:id="rId55" UpdateMode="Always">
            <o:LinkType>EnhancedMetaFile</o:LinkType>
            <o:LockedField>false</o:LockedField>
          </o:OLEObject>
        </w:object>
      </w:r>
    </w:p>
    <w:p w14:paraId="7552929E" w14:textId="77777777" w:rsidR="00B52EEC" w:rsidRDefault="00B52EEC">
      <w:pPr>
        <w:tabs>
          <w:tab w:val="left" w:pos="0"/>
        </w:tabs>
        <w:rPr>
          <w:b/>
        </w:rPr>
      </w:pPr>
    </w:p>
    <w:p w14:paraId="146A4186" w14:textId="77777777" w:rsidR="00002D23" w:rsidRPr="0096591C" w:rsidRDefault="00002D23">
      <w:pPr>
        <w:tabs>
          <w:tab w:val="left" w:pos="0"/>
        </w:tabs>
        <w:rPr>
          <w:b/>
        </w:rPr>
      </w:pPr>
      <w:r w:rsidRPr="0096591C">
        <w:rPr>
          <w:b/>
        </w:rPr>
        <w:t>Ending Unencumbered Cash Balance</w:t>
      </w:r>
      <w:r w:rsidR="001F4131" w:rsidRPr="0096591C">
        <w:rPr>
          <w:b/>
        </w:rPr>
        <w:t xml:space="preserve"> “The </w:t>
      </w:r>
      <w:r w:rsidR="001D7D96" w:rsidRPr="0096591C">
        <w:rPr>
          <w:b/>
        </w:rPr>
        <w:t>Bottom-line</w:t>
      </w:r>
      <w:r w:rsidR="001F4131" w:rsidRPr="0096591C">
        <w:rPr>
          <w:b/>
        </w:rPr>
        <w:t>”</w:t>
      </w:r>
      <w:r w:rsidRPr="0096591C">
        <w:rPr>
          <w:b/>
        </w:rPr>
        <w:t>– Line#15.010</w:t>
      </w:r>
    </w:p>
    <w:p w14:paraId="4B605DF6" w14:textId="39E0D3D9" w:rsidR="007F6FD4" w:rsidRDefault="007F6FD4" w:rsidP="007F6FD4">
      <w:pPr>
        <w:jc w:val="both"/>
      </w:pPr>
      <w:r>
        <w:t xml:space="preserve">This amount must not go below $0, or the district General Fund will violate all Ohio Budgetary Laws. Any multi-year contract knowingly signed </w:t>
      </w:r>
      <w:r w:rsidR="0047561C">
        <w:t>those results</w:t>
      </w:r>
      <w:r>
        <w:t xml:space="preserve"> in a negative unencumbered cash balance violates 5705.412, ORC, punishable by the personal liability of $10,000. It is recommended that a district maintains a minimum of thirty </w:t>
      </w:r>
      <w:r w:rsidRPr="007F6FD4">
        <w:t>(30) day cash balance, which is about $1.</w:t>
      </w:r>
      <w:r w:rsidR="0047561C">
        <w:t>9</w:t>
      </w:r>
      <w:r w:rsidR="00966392">
        <w:t xml:space="preserve"> </w:t>
      </w:r>
      <w:r w:rsidRPr="007F6FD4">
        <w:t>million for our district.</w:t>
      </w:r>
      <w:r>
        <w:t xml:space="preserve">   </w:t>
      </w:r>
    </w:p>
    <w:p w14:paraId="4B018D9E" w14:textId="77777777" w:rsidR="0053178F" w:rsidRPr="0096591C" w:rsidRDefault="0053178F">
      <w:pPr>
        <w:tabs>
          <w:tab w:val="left" w:pos="0"/>
        </w:tabs>
      </w:pPr>
    </w:p>
    <w:p w14:paraId="2B419005" w14:textId="2F9F6670" w:rsidR="00FF416F" w:rsidRDefault="007C2CF0">
      <w:pPr>
        <w:rPr>
          <w:b/>
          <w:bCs/>
        </w:rPr>
      </w:pPr>
      <w:r>
        <w:rPr>
          <w:b/>
          <w:bCs/>
        </w:rPr>
        <w:object w:dxaOrig="13260" w:dyaOrig="660" w14:anchorId="50C7AFC7">
          <v:shape id="_x0000_i1047" type="#_x0000_t75" style="width:540pt;height:33pt" o:ole="">
            <v:imagedata r:id="rId56" o:title=""/>
          </v:shape>
          <o:OLEObject Type="Link" ProgID="Excel.Sheet.12" ShapeID="_x0000_i1047" DrawAspect="Content" r:id="rId57" UpdateMode="Always">
            <o:LinkType>EnhancedMetaFile</o:LinkType>
            <o:LockedField>false</o:LockedField>
          </o:OLEObject>
        </w:object>
      </w:r>
    </w:p>
    <w:p w14:paraId="217061EB" w14:textId="77777777" w:rsidR="00A63BD4" w:rsidRDefault="00A63BD4" w:rsidP="00D010F8">
      <w:pPr>
        <w:tabs>
          <w:tab w:val="left" w:pos="0"/>
        </w:tabs>
        <w:rPr>
          <w:b/>
        </w:rPr>
      </w:pPr>
    </w:p>
    <w:p w14:paraId="6F6938EE" w14:textId="7D562DDA" w:rsidR="004C0B61" w:rsidRDefault="004C0B61" w:rsidP="004C0B61">
      <w:pPr>
        <w:tabs>
          <w:tab w:val="left" w:pos="0"/>
        </w:tabs>
        <w:rPr>
          <w:rFonts w:ascii="Times" w:hAnsi="Times" w:cs="Times"/>
          <w:b/>
        </w:rPr>
      </w:pPr>
      <w:r w:rsidRPr="004C0B61">
        <w:rPr>
          <w:b/>
        </w:rPr>
        <w:t xml:space="preserve">True Cash Days Ending Balance </w:t>
      </w:r>
    </w:p>
    <w:p w14:paraId="6E29FE40" w14:textId="77777777" w:rsidR="00121A30" w:rsidRPr="004C0B61" w:rsidRDefault="00121A30" w:rsidP="004C0B61">
      <w:pPr>
        <w:tabs>
          <w:tab w:val="left" w:pos="0"/>
        </w:tabs>
        <w:rPr>
          <w:b/>
        </w:rPr>
      </w:pPr>
    </w:p>
    <w:p w14:paraId="32B9E405" w14:textId="64852799" w:rsidR="007D219D" w:rsidRPr="00C155B3" w:rsidRDefault="009056A5" w:rsidP="007D219D">
      <w:pPr>
        <w:tabs>
          <w:tab w:val="left" w:pos="0"/>
        </w:tabs>
        <w:rPr>
          <w:b/>
        </w:rPr>
      </w:pPr>
      <w:r w:rsidRPr="009056A5">
        <w:t>Another way to look at ending cash is to state it in ‘True Cash Days”. In other words, how many days could the district operate at year-end if no additional revenues were received? This is the Current Years Ending Cash Balance divided by 365 (Current Years Expenditures/365 days) = the number of days the district could operate without additional resources or a severe resource interruption. The government Finance Officers Association recommends that no less than two (2) months or 60 days of cash is on hand at year-end. Still, it could be more depending on each district's complexity and risk factors for revenue collection. This is calculated, including transfers, as this is a predictable funding source for other funds such as capital, athletics, and severance reserves.</w:t>
      </w:r>
      <w:r w:rsidRPr="00A11CA5">
        <w:t xml:space="preserve">  </w:t>
      </w:r>
    </w:p>
    <w:p w14:paraId="206D5A7A" w14:textId="77777777" w:rsidR="007F71FB" w:rsidRPr="004C0B61" w:rsidRDefault="004C0B61" w:rsidP="004C0B61">
      <w:pPr>
        <w:tabs>
          <w:tab w:val="left" w:pos="0"/>
        </w:tabs>
        <w:rPr>
          <w:b/>
        </w:rPr>
      </w:pPr>
      <w:r w:rsidRPr="004C0B61">
        <w:t xml:space="preserve">  </w:t>
      </w:r>
    </w:p>
    <w:p w14:paraId="1E34B8D0" w14:textId="1103B09B" w:rsidR="007F71FB" w:rsidRDefault="007F71FB" w:rsidP="004C0B61">
      <w:pPr>
        <w:jc w:val="center"/>
      </w:pPr>
    </w:p>
    <w:p w14:paraId="0B596E8A" w14:textId="7D5D6011" w:rsidR="00FF416F" w:rsidRDefault="00F9305C" w:rsidP="004C0B61">
      <w:pPr>
        <w:jc w:val="center"/>
      </w:pPr>
      <w:r>
        <w:object w:dxaOrig="12555" w:dyaOrig="5100" w14:anchorId="775B9FB1">
          <v:shape id="_x0000_i1048" type="#_x0000_t75" style="width:476.25pt;height:272.25pt" o:ole="">
            <v:imagedata r:id="rId58" o:title=""/>
          </v:shape>
          <o:OLEObject Type="Link" ProgID="Excel.Sheet.12" ShapeID="_x0000_i1048" DrawAspect="Content" r:id="rId59" UpdateMode="Always">
            <o:LinkType>EnhancedMetaFile</o:LinkType>
            <o:LockedField>false</o:LockedField>
          </o:OLEObject>
        </w:object>
      </w:r>
    </w:p>
    <w:p w14:paraId="67A2C9C5" w14:textId="77777777" w:rsidR="00D010F8" w:rsidRDefault="00D010F8" w:rsidP="004C0B61"/>
    <w:p w14:paraId="6B236BF9" w14:textId="77777777" w:rsidR="007D219D" w:rsidRPr="009F114A" w:rsidRDefault="007D219D" w:rsidP="007D219D">
      <w:pPr>
        <w:rPr>
          <w:rFonts w:ascii="Times" w:hAnsi="Times"/>
        </w:rPr>
      </w:pPr>
      <w:r w:rsidRPr="007D219D">
        <w:rPr>
          <w:rFonts w:ascii="Times" w:hAnsi="Times"/>
        </w:rPr>
        <w:t>As you read through the notes and review the forecast, remember that the forecast is based on the best information available to us when the forecast is prepared.</w:t>
      </w:r>
    </w:p>
    <w:p w14:paraId="48F20E64" w14:textId="77777777" w:rsidR="0084544C" w:rsidRPr="007F71FB" w:rsidRDefault="0084544C" w:rsidP="004C0B61"/>
    <w:sectPr w:rsidR="0084544C" w:rsidRPr="007F71FB" w:rsidSect="00B41DCD">
      <w:footerReference w:type="default" r:id="rId60"/>
      <w:pgSz w:w="12240" w:h="15840" w:code="1"/>
      <w:pgMar w:top="720" w:right="720" w:bottom="720" w:left="720"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E8BDA" w14:textId="77777777" w:rsidR="00B41DCD" w:rsidRDefault="00B41DCD">
      <w:r>
        <w:separator/>
      </w:r>
    </w:p>
  </w:endnote>
  <w:endnote w:type="continuationSeparator" w:id="0">
    <w:p w14:paraId="01388506" w14:textId="77777777" w:rsidR="00B41DCD" w:rsidRDefault="00B41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C76F6" w14:textId="77777777" w:rsidR="00892760" w:rsidRDefault="00892760">
    <w:pPr>
      <w:pStyle w:val="Footer"/>
      <w:jc w:val="center"/>
    </w:pPr>
    <w:r>
      <w:fldChar w:fldCharType="begin"/>
    </w:r>
    <w:r>
      <w:instrText xml:space="preserve"> PAGE   \* MERGEFORMAT </w:instrText>
    </w:r>
    <w:r>
      <w:fldChar w:fldCharType="separate"/>
    </w:r>
    <w:r w:rsidR="00A757C8">
      <w:rPr>
        <w:noProof/>
      </w:rPr>
      <w:t>17</w:t>
    </w:r>
    <w:r>
      <w:fldChar w:fldCharType="end"/>
    </w:r>
  </w:p>
  <w:p w14:paraId="670C7A88" w14:textId="77777777" w:rsidR="00892760" w:rsidRDefault="008927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60E7A" w14:textId="77777777" w:rsidR="00B41DCD" w:rsidRDefault="00B41DCD">
      <w:r>
        <w:separator/>
      </w:r>
    </w:p>
  </w:footnote>
  <w:footnote w:type="continuationSeparator" w:id="0">
    <w:p w14:paraId="2C3BAA0C" w14:textId="77777777" w:rsidR="00B41DCD" w:rsidRDefault="00B41D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D15FF"/>
    <w:multiLevelType w:val="hybridMultilevel"/>
    <w:tmpl w:val="F9D87F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824474"/>
    <w:multiLevelType w:val="hybridMultilevel"/>
    <w:tmpl w:val="8CE80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27C97"/>
    <w:multiLevelType w:val="hybridMultilevel"/>
    <w:tmpl w:val="EB7458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91268"/>
    <w:multiLevelType w:val="hybridMultilevel"/>
    <w:tmpl w:val="C1FA06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85540C"/>
    <w:multiLevelType w:val="hybridMultilevel"/>
    <w:tmpl w:val="16807C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F749FC"/>
    <w:multiLevelType w:val="hybridMultilevel"/>
    <w:tmpl w:val="21F8A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195D35"/>
    <w:multiLevelType w:val="hybridMultilevel"/>
    <w:tmpl w:val="E52ED076"/>
    <w:lvl w:ilvl="0" w:tplc="432A01FA">
      <w:start w:val="2"/>
      <w:numFmt w:val="upperLetter"/>
      <w:lvlText w:val="%1)"/>
      <w:lvlJc w:val="left"/>
      <w:pPr>
        <w:ind w:left="4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5B143D"/>
    <w:multiLevelType w:val="hybridMultilevel"/>
    <w:tmpl w:val="2CB0CA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A1577A"/>
    <w:multiLevelType w:val="hybridMultilevel"/>
    <w:tmpl w:val="66DA176A"/>
    <w:lvl w:ilvl="0" w:tplc="04090013">
      <w:start w:val="1"/>
      <w:numFmt w:val="upperRoman"/>
      <w:lvlText w:val="%1."/>
      <w:lvlJc w:val="right"/>
      <w:pPr>
        <w:ind w:left="720" w:hanging="360"/>
      </w:pPr>
      <w:rPr>
        <w:rFonts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21020968"/>
    <w:multiLevelType w:val="hybridMultilevel"/>
    <w:tmpl w:val="1A66101C"/>
    <w:lvl w:ilvl="0" w:tplc="4940692C">
      <w:start w:val="4"/>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1473E"/>
    <w:multiLevelType w:val="hybridMultilevel"/>
    <w:tmpl w:val="96B2D4B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2A5BA7"/>
    <w:multiLevelType w:val="hybridMultilevel"/>
    <w:tmpl w:val="1BFCDD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A544FA"/>
    <w:multiLevelType w:val="hybridMultilevel"/>
    <w:tmpl w:val="EAD6D932"/>
    <w:lvl w:ilvl="0" w:tplc="4D02A5AA">
      <w:start w:val="2"/>
      <w:numFmt w:val="bullet"/>
      <w:lvlText w:val=""/>
      <w:lvlJc w:val="left"/>
      <w:pPr>
        <w:tabs>
          <w:tab w:val="num" w:pos="420"/>
        </w:tabs>
        <w:ind w:left="420" w:hanging="360"/>
      </w:pPr>
      <w:rPr>
        <w:rFonts w:ascii="Symbol" w:eastAsia="Times New Roman" w:hAnsi="Symbol" w:cs="Times New Roman"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13" w15:restartNumberingAfterBreak="0">
    <w:nsid w:val="26C335AD"/>
    <w:multiLevelType w:val="hybridMultilevel"/>
    <w:tmpl w:val="FC3AFD6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C0244D"/>
    <w:multiLevelType w:val="hybridMultilevel"/>
    <w:tmpl w:val="91F4E3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BB736FF"/>
    <w:multiLevelType w:val="hybridMultilevel"/>
    <w:tmpl w:val="0C568E5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126307B"/>
    <w:multiLevelType w:val="hybridMultilevel"/>
    <w:tmpl w:val="EB7458B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2175BF9"/>
    <w:multiLevelType w:val="hybridMultilevel"/>
    <w:tmpl w:val="3F0AEF38"/>
    <w:lvl w:ilvl="0" w:tplc="E548AFC0">
      <w:start w:val="1"/>
      <w:numFmt w:val="upperLetter"/>
      <w:lvlText w:val="%1)"/>
      <w:lvlJc w:val="left"/>
      <w:pPr>
        <w:tabs>
          <w:tab w:val="num" w:pos="420"/>
        </w:tabs>
        <w:ind w:left="420" w:hanging="360"/>
      </w:pPr>
      <w:rPr>
        <w:rFonts w:ascii="Times New Roman" w:hAnsi="Times New Roman" w:cs="Times New Roman" w:hint="default"/>
      </w:rPr>
    </w:lvl>
    <w:lvl w:ilvl="1" w:tplc="04090019">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18" w15:restartNumberingAfterBreak="0">
    <w:nsid w:val="345E27DF"/>
    <w:multiLevelType w:val="hybridMultilevel"/>
    <w:tmpl w:val="AD4EFBF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7D6D0C"/>
    <w:multiLevelType w:val="hybridMultilevel"/>
    <w:tmpl w:val="80F489FA"/>
    <w:lvl w:ilvl="0" w:tplc="F332475E">
      <w:start w:val="5"/>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CC01AC"/>
    <w:multiLevelType w:val="hybridMultilevel"/>
    <w:tmpl w:val="8E48075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C8450C"/>
    <w:multiLevelType w:val="hybridMultilevel"/>
    <w:tmpl w:val="7518909E"/>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704520"/>
    <w:multiLevelType w:val="hybridMultilevel"/>
    <w:tmpl w:val="65389B1C"/>
    <w:lvl w:ilvl="0" w:tplc="F18AF9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BF118FC"/>
    <w:multiLevelType w:val="hybridMultilevel"/>
    <w:tmpl w:val="555E65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D919EE"/>
    <w:multiLevelType w:val="hybridMultilevel"/>
    <w:tmpl w:val="4BF09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146F82"/>
    <w:multiLevelType w:val="hybridMultilevel"/>
    <w:tmpl w:val="F03A63DA"/>
    <w:lvl w:ilvl="0" w:tplc="CDD4BF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AD0A75"/>
    <w:multiLevelType w:val="hybridMultilevel"/>
    <w:tmpl w:val="D4C8A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F85B8C"/>
    <w:multiLevelType w:val="hybridMultilevel"/>
    <w:tmpl w:val="8586F9B0"/>
    <w:lvl w:ilvl="0" w:tplc="B97EB676">
      <w:start w:val="1"/>
      <w:numFmt w:val="decimal"/>
      <w:lvlText w:val="%1)"/>
      <w:lvlJc w:val="left"/>
      <w:pPr>
        <w:ind w:left="405" w:hanging="360"/>
      </w:pPr>
      <w:rPr>
        <w:rFonts w:hint="default"/>
        <w:b/>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8" w15:restartNumberingAfterBreak="0">
    <w:nsid w:val="73C87E1B"/>
    <w:multiLevelType w:val="hybridMultilevel"/>
    <w:tmpl w:val="5B9613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34385F"/>
    <w:multiLevelType w:val="hybridMultilevel"/>
    <w:tmpl w:val="EE3032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9A5119"/>
    <w:multiLevelType w:val="hybridMultilevel"/>
    <w:tmpl w:val="04A21FA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B054402"/>
    <w:multiLevelType w:val="hybridMultilevel"/>
    <w:tmpl w:val="73C8291A"/>
    <w:lvl w:ilvl="0" w:tplc="3BCC8B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7E6C46"/>
    <w:multiLevelType w:val="hybridMultilevel"/>
    <w:tmpl w:val="2E8AE9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F36F90"/>
    <w:multiLevelType w:val="hybridMultilevel"/>
    <w:tmpl w:val="684C887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1408928">
    <w:abstractNumId w:val="17"/>
  </w:num>
  <w:num w:numId="2" w16cid:durableId="1498881405">
    <w:abstractNumId w:val="12"/>
  </w:num>
  <w:num w:numId="3" w16cid:durableId="1982072787">
    <w:abstractNumId w:val="25"/>
  </w:num>
  <w:num w:numId="4" w16cid:durableId="1470979639">
    <w:abstractNumId w:val="8"/>
  </w:num>
  <w:num w:numId="5" w16cid:durableId="70205295">
    <w:abstractNumId w:val="9"/>
  </w:num>
  <w:num w:numId="6" w16cid:durableId="666786798">
    <w:abstractNumId w:val="6"/>
  </w:num>
  <w:num w:numId="7" w16cid:durableId="1440488888">
    <w:abstractNumId w:val="32"/>
  </w:num>
  <w:num w:numId="8" w16cid:durableId="2080131502">
    <w:abstractNumId w:val="30"/>
  </w:num>
  <w:num w:numId="9" w16cid:durableId="1686517963">
    <w:abstractNumId w:val="15"/>
  </w:num>
  <w:num w:numId="10" w16cid:durableId="846360346">
    <w:abstractNumId w:val="33"/>
  </w:num>
  <w:num w:numId="11" w16cid:durableId="1639803183">
    <w:abstractNumId w:val="27"/>
  </w:num>
  <w:num w:numId="12" w16cid:durableId="1305425721">
    <w:abstractNumId w:val="24"/>
  </w:num>
  <w:num w:numId="13" w16cid:durableId="72288822">
    <w:abstractNumId w:val="20"/>
  </w:num>
  <w:num w:numId="14" w16cid:durableId="17367774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94381190">
    <w:abstractNumId w:val="18"/>
  </w:num>
  <w:num w:numId="16" w16cid:durableId="1016076365">
    <w:abstractNumId w:val="11"/>
  </w:num>
  <w:num w:numId="17" w16cid:durableId="625618718">
    <w:abstractNumId w:val="13"/>
  </w:num>
  <w:num w:numId="18" w16cid:durableId="809521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3126287">
    <w:abstractNumId w:val="29"/>
  </w:num>
  <w:num w:numId="20" w16cid:durableId="1409303565">
    <w:abstractNumId w:val="19"/>
  </w:num>
  <w:num w:numId="21" w16cid:durableId="161894495">
    <w:abstractNumId w:val="22"/>
  </w:num>
  <w:num w:numId="22" w16cid:durableId="1762676883">
    <w:abstractNumId w:val="5"/>
  </w:num>
  <w:num w:numId="23" w16cid:durableId="935139840">
    <w:abstractNumId w:val="4"/>
  </w:num>
  <w:num w:numId="24" w16cid:durableId="428042287">
    <w:abstractNumId w:val="3"/>
  </w:num>
  <w:num w:numId="25" w16cid:durableId="513228637">
    <w:abstractNumId w:val="7"/>
  </w:num>
  <w:num w:numId="26" w16cid:durableId="1455562340">
    <w:abstractNumId w:val="10"/>
  </w:num>
  <w:num w:numId="27" w16cid:durableId="1350568865">
    <w:abstractNumId w:val="31"/>
  </w:num>
  <w:num w:numId="28" w16cid:durableId="1409885865">
    <w:abstractNumId w:val="26"/>
  </w:num>
  <w:num w:numId="29" w16cid:durableId="996303160">
    <w:abstractNumId w:val="2"/>
  </w:num>
  <w:num w:numId="30" w16cid:durableId="598367353">
    <w:abstractNumId w:val="28"/>
  </w:num>
  <w:num w:numId="31" w16cid:durableId="2029864010">
    <w:abstractNumId w:val="16"/>
  </w:num>
  <w:num w:numId="32" w16cid:durableId="762380511">
    <w:abstractNumId w:val="23"/>
  </w:num>
  <w:num w:numId="33" w16cid:durableId="1744789496">
    <w:abstractNumId w:val="0"/>
  </w:num>
  <w:num w:numId="34" w16cid:durableId="481851966">
    <w:abstractNumId w:val="1"/>
  </w:num>
  <w:num w:numId="35" w16cid:durableId="1643458390">
    <w:abstractNumId w:val="21"/>
  </w:num>
  <w:num w:numId="36" w16cid:durableId="834994605">
    <w:abstractNumId w:val="14"/>
  </w:num>
  <w:num w:numId="37" w16cid:durableId="14194053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9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3783D"/>
    <w:rsid w:val="00000377"/>
    <w:rsid w:val="00000B18"/>
    <w:rsid w:val="00000FA2"/>
    <w:rsid w:val="00002564"/>
    <w:rsid w:val="00002D23"/>
    <w:rsid w:val="0000367C"/>
    <w:rsid w:val="00005BD0"/>
    <w:rsid w:val="00005D56"/>
    <w:rsid w:val="000078E0"/>
    <w:rsid w:val="00010851"/>
    <w:rsid w:val="0001256E"/>
    <w:rsid w:val="00013607"/>
    <w:rsid w:val="000136FE"/>
    <w:rsid w:val="00014DC0"/>
    <w:rsid w:val="000156BF"/>
    <w:rsid w:val="000166B0"/>
    <w:rsid w:val="00016E11"/>
    <w:rsid w:val="00016E2A"/>
    <w:rsid w:val="00020831"/>
    <w:rsid w:val="00020C26"/>
    <w:rsid w:val="0002445A"/>
    <w:rsid w:val="00025B79"/>
    <w:rsid w:val="00026F7D"/>
    <w:rsid w:val="00027699"/>
    <w:rsid w:val="00030204"/>
    <w:rsid w:val="00031F58"/>
    <w:rsid w:val="00032B63"/>
    <w:rsid w:val="0003372C"/>
    <w:rsid w:val="00034E7C"/>
    <w:rsid w:val="00037922"/>
    <w:rsid w:val="000400EA"/>
    <w:rsid w:val="00041721"/>
    <w:rsid w:val="00041733"/>
    <w:rsid w:val="000418BE"/>
    <w:rsid w:val="00047DC8"/>
    <w:rsid w:val="000510CB"/>
    <w:rsid w:val="00053020"/>
    <w:rsid w:val="0005378F"/>
    <w:rsid w:val="00053BDC"/>
    <w:rsid w:val="000547FD"/>
    <w:rsid w:val="00054BFE"/>
    <w:rsid w:val="0005504D"/>
    <w:rsid w:val="00056D9B"/>
    <w:rsid w:val="000576BF"/>
    <w:rsid w:val="00061135"/>
    <w:rsid w:val="00063199"/>
    <w:rsid w:val="00063B2A"/>
    <w:rsid w:val="00066D21"/>
    <w:rsid w:val="00067090"/>
    <w:rsid w:val="000701B2"/>
    <w:rsid w:val="00070B79"/>
    <w:rsid w:val="00071F77"/>
    <w:rsid w:val="0007308E"/>
    <w:rsid w:val="000743B1"/>
    <w:rsid w:val="00076AE0"/>
    <w:rsid w:val="00076B08"/>
    <w:rsid w:val="00077981"/>
    <w:rsid w:val="00080999"/>
    <w:rsid w:val="00080EEF"/>
    <w:rsid w:val="000815E6"/>
    <w:rsid w:val="00081B0E"/>
    <w:rsid w:val="000821D0"/>
    <w:rsid w:val="000829FC"/>
    <w:rsid w:val="0008374A"/>
    <w:rsid w:val="000844A3"/>
    <w:rsid w:val="00084D9B"/>
    <w:rsid w:val="00085D9A"/>
    <w:rsid w:val="00085F41"/>
    <w:rsid w:val="000866F1"/>
    <w:rsid w:val="00090F3C"/>
    <w:rsid w:val="00091105"/>
    <w:rsid w:val="000922C7"/>
    <w:rsid w:val="000930CD"/>
    <w:rsid w:val="000933E8"/>
    <w:rsid w:val="000A0A7C"/>
    <w:rsid w:val="000A44E9"/>
    <w:rsid w:val="000B14F6"/>
    <w:rsid w:val="000B1D0D"/>
    <w:rsid w:val="000B29AD"/>
    <w:rsid w:val="000B2E0E"/>
    <w:rsid w:val="000B4C5C"/>
    <w:rsid w:val="000B6D3A"/>
    <w:rsid w:val="000B7468"/>
    <w:rsid w:val="000C0398"/>
    <w:rsid w:val="000C0DBD"/>
    <w:rsid w:val="000C236D"/>
    <w:rsid w:val="000C4333"/>
    <w:rsid w:val="000C451F"/>
    <w:rsid w:val="000C67F3"/>
    <w:rsid w:val="000C7BC9"/>
    <w:rsid w:val="000C7CD6"/>
    <w:rsid w:val="000C7FF3"/>
    <w:rsid w:val="000D0C72"/>
    <w:rsid w:val="000D2201"/>
    <w:rsid w:val="000D25B3"/>
    <w:rsid w:val="000D35E4"/>
    <w:rsid w:val="000D3E17"/>
    <w:rsid w:val="000D601D"/>
    <w:rsid w:val="000D73B5"/>
    <w:rsid w:val="000D7B37"/>
    <w:rsid w:val="000E3D26"/>
    <w:rsid w:val="000E41BC"/>
    <w:rsid w:val="000E6895"/>
    <w:rsid w:val="000F02F8"/>
    <w:rsid w:val="000F1DE8"/>
    <w:rsid w:val="000F31CB"/>
    <w:rsid w:val="000F4403"/>
    <w:rsid w:val="000F6797"/>
    <w:rsid w:val="000F7323"/>
    <w:rsid w:val="000F7866"/>
    <w:rsid w:val="001009A1"/>
    <w:rsid w:val="00101325"/>
    <w:rsid w:val="00103042"/>
    <w:rsid w:val="00104093"/>
    <w:rsid w:val="00105406"/>
    <w:rsid w:val="00106FC8"/>
    <w:rsid w:val="0010739C"/>
    <w:rsid w:val="001075B4"/>
    <w:rsid w:val="00107828"/>
    <w:rsid w:val="0011089E"/>
    <w:rsid w:val="001114F3"/>
    <w:rsid w:val="00114020"/>
    <w:rsid w:val="00114667"/>
    <w:rsid w:val="00114C17"/>
    <w:rsid w:val="00116628"/>
    <w:rsid w:val="00116DA2"/>
    <w:rsid w:val="00117822"/>
    <w:rsid w:val="00121A30"/>
    <w:rsid w:val="001221B0"/>
    <w:rsid w:val="00122464"/>
    <w:rsid w:val="00122A85"/>
    <w:rsid w:val="001243C7"/>
    <w:rsid w:val="00124747"/>
    <w:rsid w:val="00125A83"/>
    <w:rsid w:val="00126320"/>
    <w:rsid w:val="001263CE"/>
    <w:rsid w:val="001264AD"/>
    <w:rsid w:val="00126E8C"/>
    <w:rsid w:val="00130260"/>
    <w:rsid w:val="00131586"/>
    <w:rsid w:val="00131AD7"/>
    <w:rsid w:val="00132170"/>
    <w:rsid w:val="00133584"/>
    <w:rsid w:val="00133C8F"/>
    <w:rsid w:val="001341E1"/>
    <w:rsid w:val="001343F8"/>
    <w:rsid w:val="0013619F"/>
    <w:rsid w:val="00136DE1"/>
    <w:rsid w:val="00137A67"/>
    <w:rsid w:val="00141581"/>
    <w:rsid w:val="001447F5"/>
    <w:rsid w:val="001449B8"/>
    <w:rsid w:val="00144EEA"/>
    <w:rsid w:val="001462F0"/>
    <w:rsid w:val="00147A92"/>
    <w:rsid w:val="00147D90"/>
    <w:rsid w:val="00150F9C"/>
    <w:rsid w:val="00155718"/>
    <w:rsid w:val="0015587A"/>
    <w:rsid w:val="00155DF3"/>
    <w:rsid w:val="00155E24"/>
    <w:rsid w:val="001605D8"/>
    <w:rsid w:val="00164A66"/>
    <w:rsid w:val="00164F96"/>
    <w:rsid w:val="001652A7"/>
    <w:rsid w:val="0016575E"/>
    <w:rsid w:val="0016576D"/>
    <w:rsid w:val="00165862"/>
    <w:rsid w:val="00166A58"/>
    <w:rsid w:val="001704B3"/>
    <w:rsid w:val="00170D37"/>
    <w:rsid w:val="00170DCA"/>
    <w:rsid w:val="00173A68"/>
    <w:rsid w:val="00173CC2"/>
    <w:rsid w:val="00173F4F"/>
    <w:rsid w:val="00175063"/>
    <w:rsid w:val="00180E97"/>
    <w:rsid w:val="001811B2"/>
    <w:rsid w:val="001811ED"/>
    <w:rsid w:val="00181B16"/>
    <w:rsid w:val="001844FB"/>
    <w:rsid w:val="00186B8A"/>
    <w:rsid w:val="00186C67"/>
    <w:rsid w:val="0019113C"/>
    <w:rsid w:val="001912C6"/>
    <w:rsid w:val="00191813"/>
    <w:rsid w:val="001927AE"/>
    <w:rsid w:val="0019314E"/>
    <w:rsid w:val="001934B3"/>
    <w:rsid w:val="00193564"/>
    <w:rsid w:val="00194C24"/>
    <w:rsid w:val="00195E60"/>
    <w:rsid w:val="00195ED3"/>
    <w:rsid w:val="001A0C08"/>
    <w:rsid w:val="001A236A"/>
    <w:rsid w:val="001B0246"/>
    <w:rsid w:val="001B10E3"/>
    <w:rsid w:val="001B1255"/>
    <w:rsid w:val="001B1296"/>
    <w:rsid w:val="001B2D2F"/>
    <w:rsid w:val="001B3072"/>
    <w:rsid w:val="001B3DA2"/>
    <w:rsid w:val="001B6915"/>
    <w:rsid w:val="001B6D8D"/>
    <w:rsid w:val="001B7970"/>
    <w:rsid w:val="001C08A1"/>
    <w:rsid w:val="001C3D88"/>
    <w:rsid w:val="001C71C2"/>
    <w:rsid w:val="001D0409"/>
    <w:rsid w:val="001D0509"/>
    <w:rsid w:val="001D1318"/>
    <w:rsid w:val="001D14F7"/>
    <w:rsid w:val="001D16EE"/>
    <w:rsid w:val="001D3B89"/>
    <w:rsid w:val="001D3DAD"/>
    <w:rsid w:val="001D5091"/>
    <w:rsid w:val="001D53EA"/>
    <w:rsid w:val="001D596D"/>
    <w:rsid w:val="001D5E84"/>
    <w:rsid w:val="001D79E2"/>
    <w:rsid w:val="001D7D96"/>
    <w:rsid w:val="001E010B"/>
    <w:rsid w:val="001E042E"/>
    <w:rsid w:val="001E0B02"/>
    <w:rsid w:val="001E0D54"/>
    <w:rsid w:val="001E249B"/>
    <w:rsid w:val="001E2D7D"/>
    <w:rsid w:val="001E3C79"/>
    <w:rsid w:val="001E42E8"/>
    <w:rsid w:val="001E47B3"/>
    <w:rsid w:val="001E5209"/>
    <w:rsid w:val="001E6094"/>
    <w:rsid w:val="001E656B"/>
    <w:rsid w:val="001E6B59"/>
    <w:rsid w:val="001E705C"/>
    <w:rsid w:val="001E7426"/>
    <w:rsid w:val="001E78B0"/>
    <w:rsid w:val="001F29DC"/>
    <w:rsid w:val="001F29FD"/>
    <w:rsid w:val="001F4131"/>
    <w:rsid w:val="001F4FB5"/>
    <w:rsid w:val="001F5329"/>
    <w:rsid w:val="001F5508"/>
    <w:rsid w:val="001F6E5B"/>
    <w:rsid w:val="001F7347"/>
    <w:rsid w:val="001F73B5"/>
    <w:rsid w:val="001F7745"/>
    <w:rsid w:val="002007D3"/>
    <w:rsid w:val="00201538"/>
    <w:rsid w:val="00202BDF"/>
    <w:rsid w:val="00203E5A"/>
    <w:rsid w:val="002058E0"/>
    <w:rsid w:val="00207285"/>
    <w:rsid w:val="00207A7C"/>
    <w:rsid w:val="00207D22"/>
    <w:rsid w:val="0021009D"/>
    <w:rsid w:val="00211427"/>
    <w:rsid w:val="00212FAA"/>
    <w:rsid w:val="0021306E"/>
    <w:rsid w:val="00215685"/>
    <w:rsid w:val="00215D94"/>
    <w:rsid w:val="00220426"/>
    <w:rsid w:val="00224521"/>
    <w:rsid w:val="00224535"/>
    <w:rsid w:val="0022556B"/>
    <w:rsid w:val="002272AD"/>
    <w:rsid w:val="00227DB9"/>
    <w:rsid w:val="00227DE4"/>
    <w:rsid w:val="002332AD"/>
    <w:rsid w:val="00234FE3"/>
    <w:rsid w:val="0023541E"/>
    <w:rsid w:val="00236AD4"/>
    <w:rsid w:val="00237A15"/>
    <w:rsid w:val="00237A51"/>
    <w:rsid w:val="00242CD0"/>
    <w:rsid w:val="0024475F"/>
    <w:rsid w:val="002448C6"/>
    <w:rsid w:val="00246DB1"/>
    <w:rsid w:val="0024720C"/>
    <w:rsid w:val="00247709"/>
    <w:rsid w:val="00247E2A"/>
    <w:rsid w:val="0025115F"/>
    <w:rsid w:val="00251D52"/>
    <w:rsid w:val="0025296C"/>
    <w:rsid w:val="00252D1F"/>
    <w:rsid w:val="00255733"/>
    <w:rsid w:val="0025598B"/>
    <w:rsid w:val="0026058D"/>
    <w:rsid w:val="00262DBC"/>
    <w:rsid w:val="00263087"/>
    <w:rsid w:val="00264375"/>
    <w:rsid w:val="0026586C"/>
    <w:rsid w:val="00265DB6"/>
    <w:rsid w:val="00267092"/>
    <w:rsid w:val="002722DA"/>
    <w:rsid w:val="002729AA"/>
    <w:rsid w:val="00276AA6"/>
    <w:rsid w:val="0027718C"/>
    <w:rsid w:val="0028771E"/>
    <w:rsid w:val="0028786C"/>
    <w:rsid w:val="0029147B"/>
    <w:rsid w:val="00291E16"/>
    <w:rsid w:val="00292928"/>
    <w:rsid w:val="0029357D"/>
    <w:rsid w:val="0029509C"/>
    <w:rsid w:val="0029579E"/>
    <w:rsid w:val="00295C81"/>
    <w:rsid w:val="0029631F"/>
    <w:rsid w:val="00297F3B"/>
    <w:rsid w:val="002A68F3"/>
    <w:rsid w:val="002A7F6E"/>
    <w:rsid w:val="002B345D"/>
    <w:rsid w:val="002B3AA1"/>
    <w:rsid w:val="002B3CD9"/>
    <w:rsid w:val="002B501A"/>
    <w:rsid w:val="002B5C2B"/>
    <w:rsid w:val="002C04CC"/>
    <w:rsid w:val="002C0F19"/>
    <w:rsid w:val="002C37FE"/>
    <w:rsid w:val="002C3A90"/>
    <w:rsid w:val="002C3CB3"/>
    <w:rsid w:val="002C44CF"/>
    <w:rsid w:val="002C4582"/>
    <w:rsid w:val="002C5314"/>
    <w:rsid w:val="002C5436"/>
    <w:rsid w:val="002C56CE"/>
    <w:rsid w:val="002C5FF5"/>
    <w:rsid w:val="002C6713"/>
    <w:rsid w:val="002D2056"/>
    <w:rsid w:val="002D290E"/>
    <w:rsid w:val="002D621A"/>
    <w:rsid w:val="002D631D"/>
    <w:rsid w:val="002D66FF"/>
    <w:rsid w:val="002D77F0"/>
    <w:rsid w:val="002D7AD2"/>
    <w:rsid w:val="002E25BB"/>
    <w:rsid w:val="002E2CAE"/>
    <w:rsid w:val="002E48FF"/>
    <w:rsid w:val="002E5527"/>
    <w:rsid w:val="002E5A1B"/>
    <w:rsid w:val="002E5A55"/>
    <w:rsid w:val="002E5E19"/>
    <w:rsid w:val="002E760E"/>
    <w:rsid w:val="002F0C8A"/>
    <w:rsid w:val="002F1FC7"/>
    <w:rsid w:val="002F3011"/>
    <w:rsid w:val="002F5459"/>
    <w:rsid w:val="002F5C8D"/>
    <w:rsid w:val="002F648F"/>
    <w:rsid w:val="002F6839"/>
    <w:rsid w:val="0030005B"/>
    <w:rsid w:val="00301289"/>
    <w:rsid w:val="00303C9F"/>
    <w:rsid w:val="0030588F"/>
    <w:rsid w:val="00305C41"/>
    <w:rsid w:val="0030731A"/>
    <w:rsid w:val="00310A69"/>
    <w:rsid w:val="00313541"/>
    <w:rsid w:val="00313E44"/>
    <w:rsid w:val="00314F55"/>
    <w:rsid w:val="00314F8C"/>
    <w:rsid w:val="00315BBA"/>
    <w:rsid w:val="00316181"/>
    <w:rsid w:val="00316DC5"/>
    <w:rsid w:val="0031716D"/>
    <w:rsid w:val="00317B88"/>
    <w:rsid w:val="00320862"/>
    <w:rsid w:val="0032371A"/>
    <w:rsid w:val="00324688"/>
    <w:rsid w:val="00325C4A"/>
    <w:rsid w:val="003264D7"/>
    <w:rsid w:val="00326F93"/>
    <w:rsid w:val="003273F4"/>
    <w:rsid w:val="0033016F"/>
    <w:rsid w:val="00330A83"/>
    <w:rsid w:val="00331707"/>
    <w:rsid w:val="00331BF5"/>
    <w:rsid w:val="003344D3"/>
    <w:rsid w:val="00337C68"/>
    <w:rsid w:val="00340AA5"/>
    <w:rsid w:val="0034218D"/>
    <w:rsid w:val="00342216"/>
    <w:rsid w:val="00343157"/>
    <w:rsid w:val="00343FE3"/>
    <w:rsid w:val="003445E6"/>
    <w:rsid w:val="0034552E"/>
    <w:rsid w:val="003460EF"/>
    <w:rsid w:val="00346AE0"/>
    <w:rsid w:val="0034788E"/>
    <w:rsid w:val="00350FCE"/>
    <w:rsid w:val="00351AB1"/>
    <w:rsid w:val="00353666"/>
    <w:rsid w:val="003536CF"/>
    <w:rsid w:val="00355E6D"/>
    <w:rsid w:val="0035661B"/>
    <w:rsid w:val="0036165B"/>
    <w:rsid w:val="00361A5C"/>
    <w:rsid w:val="00363535"/>
    <w:rsid w:val="00364015"/>
    <w:rsid w:val="00364378"/>
    <w:rsid w:val="00365813"/>
    <w:rsid w:val="00366E70"/>
    <w:rsid w:val="0036716B"/>
    <w:rsid w:val="00371EB2"/>
    <w:rsid w:val="00375238"/>
    <w:rsid w:val="00375E9E"/>
    <w:rsid w:val="003768C0"/>
    <w:rsid w:val="00377090"/>
    <w:rsid w:val="00377BD1"/>
    <w:rsid w:val="00377CFF"/>
    <w:rsid w:val="003817C7"/>
    <w:rsid w:val="00382F97"/>
    <w:rsid w:val="003842FC"/>
    <w:rsid w:val="00385E74"/>
    <w:rsid w:val="00387AED"/>
    <w:rsid w:val="003900DB"/>
    <w:rsid w:val="00390842"/>
    <w:rsid w:val="00391623"/>
    <w:rsid w:val="00395457"/>
    <w:rsid w:val="003A27C5"/>
    <w:rsid w:val="003A2874"/>
    <w:rsid w:val="003A3671"/>
    <w:rsid w:val="003B0F75"/>
    <w:rsid w:val="003B3070"/>
    <w:rsid w:val="003B4762"/>
    <w:rsid w:val="003B4994"/>
    <w:rsid w:val="003B4C3B"/>
    <w:rsid w:val="003C0052"/>
    <w:rsid w:val="003C21A5"/>
    <w:rsid w:val="003C3775"/>
    <w:rsid w:val="003C606B"/>
    <w:rsid w:val="003D0ADF"/>
    <w:rsid w:val="003D4C11"/>
    <w:rsid w:val="003D567E"/>
    <w:rsid w:val="003D63C1"/>
    <w:rsid w:val="003D7B3E"/>
    <w:rsid w:val="003E1EE1"/>
    <w:rsid w:val="003E25A7"/>
    <w:rsid w:val="003E38BC"/>
    <w:rsid w:val="003E3D04"/>
    <w:rsid w:val="003E4651"/>
    <w:rsid w:val="003E6F91"/>
    <w:rsid w:val="003F0049"/>
    <w:rsid w:val="003F16C1"/>
    <w:rsid w:val="003F1896"/>
    <w:rsid w:val="003F2792"/>
    <w:rsid w:val="003F4E1D"/>
    <w:rsid w:val="003F5CC0"/>
    <w:rsid w:val="003F5E3B"/>
    <w:rsid w:val="004004F1"/>
    <w:rsid w:val="00400606"/>
    <w:rsid w:val="00401807"/>
    <w:rsid w:val="00402723"/>
    <w:rsid w:val="004050F3"/>
    <w:rsid w:val="004065FC"/>
    <w:rsid w:val="004078C2"/>
    <w:rsid w:val="00407BB2"/>
    <w:rsid w:val="00407EA7"/>
    <w:rsid w:val="004123A2"/>
    <w:rsid w:val="00414BD3"/>
    <w:rsid w:val="00417640"/>
    <w:rsid w:val="004221D6"/>
    <w:rsid w:val="004244CF"/>
    <w:rsid w:val="004249FA"/>
    <w:rsid w:val="00425E80"/>
    <w:rsid w:val="004274D4"/>
    <w:rsid w:val="00431DC1"/>
    <w:rsid w:val="004332D1"/>
    <w:rsid w:val="00437317"/>
    <w:rsid w:val="0043783D"/>
    <w:rsid w:val="004414B9"/>
    <w:rsid w:val="00445A8C"/>
    <w:rsid w:val="00446210"/>
    <w:rsid w:val="0045085B"/>
    <w:rsid w:val="0045199B"/>
    <w:rsid w:val="00452038"/>
    <w:rsid w:val="00452494"/>
    <w:rsid w:val="00452E41"/>
    <w:rsid w:val="00454614"/>
    <w:rsid w:val="00455172"/>
    <w:rsid w:val="00456753"/>
    <w:rsid w:val="00456D25"/>
    <w:rsid w:val="00457DF2"/>
    <w:rsid w:val="00457FC2"/>
    <w:rsid w:val="0046001B"/>
    <w:rsid w:val="004603F9"/>
    <w:rsid w:val="0046227E"/>
    <w:rsid w:val="0046236B"/>
    <w:rsid w:val="00463F9E"/>
    <w:rsid w:val="00465393"/>
    <w:rsid w:val="00465D17"/>
    <w:rsid w:val="00465EB3"/>
    <w:rsid w:val="004660A6"/>
    <w:rsid w:val="00466330"/>
    <w:rsid w:val="0047021B"/>
    <w:rsid w:val="004707A7"/>
    <w:rsid w:val="00472496"/>
    <w:rsid w:val="00474F62"/>
    <w:rsid w:val="0047561C"/>
    <w:rsid w:val="004762C2"/>
    <w:rsid w:val="004773C4"/>
    <w:rsid w:val="00480CBF"/>
    <w:rsid w:val="0048209D"/>
    <w:rsid w:val="0048325E"/>
    <w:rsid w:val="00484C62"/>
    <w:rsid w:val="00485BA9"/>
    <w:rsid w:val="00486262"/>
    <w:rsid w:val="0048792A"/>
    <w:rsid w:val="0049143C"/>
    <w:rsid w:val="0049193A"/>
    <w:rsid w:val="00491C72"/>
    <w:rsid w:val="004922E8"/>
    <w:rsid w:val="00492A18"/>
    <w:rsid w:val="00492E12"/>
    <w:rsid w:val="00494983"/>
    <w:rsid w:val="00495714"/>
    <w:rsid w:val="00495E62"/>
    <w:rsid w:val="004A09BF"/>
    <w:rsid w:val="004A1362"/>
    <w:rsid w:val="004A3BC6"/>
    <w:rsid w:val="004A4EF2"/>
    <w:rsid w:val="004A6BE0"/>
    <w:rsid w:val="004A7354"/>
    <w:rsid w:val="004A7643"/>
    <w:rsid w:val="004B1270"/>
    <w:rsid w:val="004B3018"/>
    <w:rsid w:val="004B563A"/>
    <w:rsid w:val="004C0B61"/>
    <w:rsid w:val="004C3827"/>
    <w:rsid w:val="004C6F05"/>
    <w:rsid w:val="004D243E"/>
    <w:rsid w:val="004D24A5"/>
    <w:rsid w:val="004D28A0"/>
    <w:rsid w:val="004D2D69"/>
    <w:rsid w:val="004D2F63"/>
    <w:rsid w:val="004D432E"/>
    <w:rsid w:val="004D449A"/>
    <w:rsid w:val="004D47B9"/>
    <w:rsid w:val="004D5D61"/>
    <w:rsid w:val="004D5E7C"/>
    <w:rsid w:val="004D7E29"/>
    <w:rsid w:val="004E2E7A"/>
    <w:rsid w:val="004E36A4"/>
    <w:rsid w:val="004E41D8"/>
    <w:rsid w:val="004E4AF3"/>
    <w:rsid w:val="004E53E6"/>
    <w:rsid w:val="004E5C11"/>
    <w:rsid w:val="004E7862"/>
    <w:rsid w:val="004E7C5A"/>
    <w:rsid w:val="004F061E"/>
    <w:rsid w:val="004F15C9"/>
    <w:rsid w:val="004F2075"/>
    <w:rsid w:val="004F3719"/>
    <w:rsid w:val="004F463D"/>
    <w:rsid w:val="004F4F4C"/>
    <w:rsid w:val="00500526"/>
    <w:rsid w:val="0050158B"/>
    <w:rsid w:val="00504BA5"/>
    <w:rsid w:val="00504C3E"/>
    <w:rsid w:val="005066D4"/>
    <w:rsid w:val="005101C2"/>
    <w:rsid w:val="00512961"/>
    <w:rsid w:val="00513CA7"/>
    <w:rsid w:val="005154A3"/>
    <w:rsid w:val="00515E0E"/>
    <w:rsid w:val="005174E7"/>
    <w:rsid w:val="005202AC"/>
    <w:rsid w:val="005226C2"/>
    <w:rsid w:val="005226DD"/>
    <w:rsid w:val="00522746"/>
    <w:rsid w:val="00522C3C"/>
    <w:rsid w:val="00527115"/>
    <w:rsid w:val="00527EF2"/>
    <w:rsid w:val="00530CBD"/>
    <w:rsid w:val="00531096"/>
    <w:rsid w:val="0053178F"/>
    <w:rsid w:val="00531836"/>
    <w:rsid w:val="00531C18"/>
    <w:rsid w:val="00536D61"/>
    <w:rsid w:val="005425B8"/>
    <w:rsid w:val="0054424E"/>
    <w:rsid w:val="00545B12"/>
    <w:rsid w:val="005465E2"/>
    <w:rsid w:val="00550CBA"/>
    <w:rsid w:val="00551BF3"/>
    <w:rsid w:val="005538D0"/>
    <w:rsid w:val="00553C7A"/>
    <w:rsid w:val="0055463E"/>
    <w:rsid w:val="00554C7C"/>
    <w:rsid w:val="00556580"/>
    <w:rsid w:val="00556943"/>
    <w:rsid w:val="005572B6"/>
    <w:rsid w:val="00557D21"/>
    <w:rsid w:val="00560279"/>
    <w:rsid w:val="005611D6"/>
    <w:rsid w:val="00561DF9"/>
    <w:rsid w:val="00564A3A"/>
    <w:rsid w:val="005654AC"/>
    <w:rsid w:val="00565BF5"/>
    <w:rsid w:val="005663F5"/>
    <w:rsid w:val="00566AE7"/>
    <w:rsid w:val="00566E28"/>
    <w:rsid w:val="00570FA0"/>
    <w:rsid w:val="00571547"/>
    <w:rsid w:val="00573F80"/>
    <w:rsid w:val="00575D7C"/>
    <w:rsid w:val="005763CB"/>
    <w:rsid w:val="005775CA"/>
    <w:rsid w:val="00580041"/>
    <w:rsid w:val="00580646"/>
    <w:rsid w:val="00581258"/>
    <w:rsid w:val="00582F44"/>
    <w:rsid w:val="00584627"/>
    <w:rsid w:val="005862DA"/>
    <w:rsid w:val="00590AEA"/>
    <w:rsid w:val="005918D0"/>
    <w:rsid w:val="005926FF"/>
    <w:rsid w:val="00593A67"/>
    <w:rsid w:val="00596BB9"/>
    <w:rsid w:val="00597D25"/>
    <w:rsid w:val="005A2E44"/>
    <w:rsid w:val="005A31E9"/>
    <w:rsid w:val="005A4051"/>
    <w:rsid w:val="005A495B"/>
    <w:rsid w:val="005A5AE7"/>
    <w:rsid w:val="005A5CF0"/>
    <w:rsid w:val="005A686A"/>
    <w:rsid w:val="005A6893"/>
    <w:rsid w:val="005A6BA0"/>
    <w:rsid w:val="005B00E5"/>
    <w:rsid w:val="005B06B2"/>
    <w:rsid w:val="005B137D"/>
    <w:rsid w:val="005B1DCD"/>
    <w:rsid w:val="005B6252"/>
    <w:rsid w:val="005B7BDD"/>
    <w:rsid w:val="005C0DF4"/>
    <w:rsid w:val="005C108F"/>
    <w:rsid w:val="005C22E1"/>
    <w:rsid w:val="005C5BB9"/>
    <w:rsid w:val="005C6E13"/>
    <w:rsid w:val="005C7DAC"/>
    <w:rsid w:val="005D0AAC"/>
    <w:rsid w:val="005D0C71"/>
    <w:rsid w:val="005D20DD"/>
    <w:rsid w:val="005D3FFB"/>
    <w:rsid w:val="005D499E"/>
    <w:rsid w:val="005D7656"/>
    <w:rsid w:val="005D7B3A"/>
    <w:rsid w:val="005D7BBA"/>
    <w:rsid w:val="005E0136"/>
    <w:rsid w:val="005E1B82"/>
    <w:rsid w:val="005E4F1D"/>
    <w:rsid w:val="005E5DBD"/>
    <w:rsid w:val="005E6527"/>
    <w:rsid w:val="005E6C87"/>
    <w:rsid w:val="005E6F71"/>
    <w:rsid w:val="005F1DD7"/>
    <w:rsid w:val="005F332F"/>
    <w:rsid w:val="005F3930"/>
    <w:rsid w:val="005F408C"/>
    <w:rsid w:val="005F525E"/>
    <w:rsid w:val="005F5666"/>
    <w:rsid w:val="005F5F4F"/>
    <w:rsid w:val="005F67B2"/>
    <w:rsid w:val="005F67C7"/>
    <w:rsid w:val="005F75E4"/>
    <w:rsid w:val="0060046F"/>
    <w:rsid w:val="0060373E"/>
    <w:rsid w:val="00610BA9"/>
    <w:rsid w:val="0061272E"/>
    <w:rsid w:val="006129C9"/>
    <w:rsid w:val="00612CC9"/>
    <w:rsid w:val="00613939"/>
    <w:rsid w:val="00613F8F"/>
    <w:rsid w:val="00614695"/>
    <w:rsid w:val="00614B19"/>
    <w:rsid w:val="0061516C"/>
    <w:rsid w:val="00616886"/>
    <w:rsid w:val="00616967"/>
    <w:rsid w:val="00616ACE"/>
    <w:rsid w:val="00616EEA"/>
    <w:rsid w:val="006170A1"/>
    <w:rsid w:val="00617D72"/>
    <w:rsid w:val="0062141B"/>
    <w:rsid w:val="006227E4"/>
    <w:rsid w:val="00623CFF"/>
    <w:rsid w:val="00623FE5"/>
    <w:rsid w:val="00625C4C"/>
    <w:rsid w:val="00627F33"/>
    <w:rsid w:val="00630295"/>
    <w:rsid w:val="0063045C"/>
    <w:rsid w:val="006306D0"/>
    <w:rsid w:val="0063481F"/>
    <w:rsid w:val="00634E07"/>
    <w:rsid w:val="00636AFA"/>
    <w:rsid w:val="006371A5"/>
    <w:rsid w:val="00640A31"/>
    <w:rsid w:val="00642017"/>
    <w:rsid w:val="0064214E"/>
    <w:rsid w:val="00642D06"/>
    <w:rsid w:val="00643132"/>
    <w:rsid w:val="00643892"/>
    <w:rsid w:val="00643E73"/>
    <w:rsid w:val="006458DB"/>
    <w:rsid w:val="006463B8"/>
    <w:rsid w:val="00646A73"/>
    <w:rsid w:val="00647A14"/>
    <w:rsid w:val="006501D3"/>
    <w:rsid w:val="00653B00"/>
    <w:rsid w:val="00654705"/>
    <w:rsid w:val="00654880"/>
    <w:rsid w:val="00654AEA"/>
    <w:rsid w:val="006554C3"/>
    <w:rsid w:val="00656893"/>
    <w:rsid w:val="00661862"/>
    <w:rsid w:val="0066310F"/>
    <w:rsid w:val="00665036"/>
    <w:rsid w:val="0066505E"/>
    <w:rsid w:val="006662A8"/>
    <w:rsid w:val="00670919"/>
    <w:rsid w:val="006710D4"/>
    <w:rsid w:val="00673029"/>
    <w:rsid w:val="006743E9"/>
    <w:rsid w:val="00675B76"/>
    <w:rsid w:val="006772DF"/>
    <w:rsid w:val="00677B8F"/>
    <w:rsid w:val="006801CB"/>
    <w:rsid w:val="00684DCC"/>
    <w:rsid w:val="006854B0"/>
    <w:rsid w:val="00686B3D"/>
    <w:rsid w:val="006873FE"/>
    <w:rsid w:val="00691FA9"/>
    <w:rsid w:val="00692259"/>
    <w:rsid w:val="0069272D"/>
    <w:rsid w:val="00696295"/>
    <w:rsid w:val="006965B2"/>
    <w:rsid w:val="006A0936"/>
    <w:rsid w:val="006A0B0E"/>
    <w:rsid w:val="006A0CCF"/>
    <w:rsid w:val="006A4F7D"/>
    <w:rsid w:val="006A5CA7"/>
    <w:rsid w:val="006A5EA2"/>
    <w:rsid w:val="006A6216"/>
    <w:rsid w:val="006B02D7"/>
    <w:rsid w:val="006B19C8"/>
    <w:rsid w:val="006B2007"/>
    <w:rsid w:val="006B2154"/>
    <w:rsid w:val="006B4078"/>
    <w:rsid w:val="006B486E"/>
    <w:rsid w:val="006C03E3"/>
    <w:rsid w:val="006C0C18"/>
    <w:rsid w:val="006C0FF1"/>
    <w:rsid w:val="006C1487"/>
    <w:rsid w:val="006C1EAF"/>
    <w:rsid w:val="006C3657"/>
    <w:rsid w:val="006C5694"/>
    <w:rsid w:val="006C604C"/>
    <w:rsid w:val="006C6639"/>
    <w:rsid w:val="006D071C"/>
    <w:rsid w:val="006D247F"/>
    <w:rsid w:val="006D7558"/>
    <w:rsid w:val="006E0142"/>
    <w:rsid w:val="006E0D83"/>
    <w:rsid w:val="006E1B23"/>
    <w:rsid w:val="006E1BC6"/>
    <w:rsid w:val="006E2E47"/>
    <w:rsid w:val="006E377C"/>
    <w:rsid w:val="006E3972"/>
    <w:rsid w:val="006E6EE0"/>
    <w:rsid w:val="006E708A"/>
    <w:rsid w:val="006E7AC4"/>
    <w:rsid w:val="006F0ACD"/>
    <w:rsid w:val="006F1F8F"/>
    <w:rsid w:val="006F2608"/>
    <w:rsid w:val="006F30FC"/>
    <w:rsid w:val="006F487F"/>
    <w:rsid w:val="006F4A0B"/>
    <w:rsid w:val="006F684C"/>
    <w:rsid w:val="007010CF"/>
    <w:rsid w:val="00701682"/>
    <w:rsid w:val="00702717"/>
    <w:rsid w:val="00703B3A"/>
    <w:rsid w:val="00703B8D"/>
    <w:rsid w:val="00703C14"/>
    <w:rsid w:val="00704CA4"/>
    <w:rsid w:val="00705181"/>
    <w:rsid w:val="00707278"/>
    <w:rsid w:val="007105DB"/>
    <w:rsid w:val="00712605"/>
    <w:rsid w:val="00712E70"/>
    <w:rsid w:val="007139A4"/>
    <w:rsid w:val="00715A39"/>
    <w:rsid w:val="00716254"/>
    <w:rsid w:val="00716C3A"/>
    <w:rsid w:val="00716E72"/>
    <w:rsid w:val="00720B9F"/>
    <w:rsid w:val="00721117"/>
    <w:rsid w:val="00722382"/>
    <w:rsid w:val="007227D3"/>
    <w:rsid w:val="00724902"/>
    <w:rsid w:val="00724E14"/>
    <w:rsid w:val="00725254"/>
    <w:rsid w:val="007259E3"/>
    <w:rsid w:val="007273F7"/>
    <w:rsid w:val="00731983"/>
    <w:rsid w:val="00732471"/>
    <w:rsid w:val="007328D6"/>
    <w:rsid w:val="00733AA5"/>
    <w:rsid w:val="00734109"/>
    <w:rsid w:val="00734673"/>
    <w:rsid w:val="007348D6"/>
    <w:rsid w:val="00735404"/>
    <w:rsid w:val="00735E7F"/>
    <w:rsid w:val="00742633"/>
    <w:rsid w:val="00743FDB"/>
    <w:rsid w:val="007446E1"/>
    <w:rsid w:val="00745F77"/>
    <w:rsid w:val="00746BB9"/>
    <w:rsid w:val="0074796D"/>
    <w:rsid w:val="007502CF"/>
    <w:rsid w:val="0075217A"/>
    <w:rsid w:val="007535A3"/>
    <w:rsid w:val="007538CE"/>
    <w:rsid w:val="0075399F"/>
    <w:rsid w:val="007545B6"/>
    <w:rsid w:val="0075693E"/>
    <w:rsid w:val="007569C5"/>
    <w:rsid w:val="007571EF"/>
    <w:rsid w:val="00760A48"/>
    <w:rsid w:val="00762BDF"/>
    <w:rsid w:val="00763615"/>
    <w:rsid w:val="00764C60"/>
    <w:rsid w:val="0076628A"/>
    <w:rsid w:val="007678A5"/>
    <w:rsid w:val="00770F8C"/>
    <w:rsid w:val="007710EF"/>
    <w:rsid w:val="007724F1"/>
    <w:rsid w:val="0077258F"/>
    <w:rsid w:val="007726F0"/>
    <w:rsid w:val="00773F9A"/>
    <w:rsid w:val="0077549E"/>
    <w:rsid w:val="00776C16"/>
    <w:rsid w:val="00780EB2"/>
    <w:rsid w:val="007813E0"/>
    <w:rsid w:val="00781460"/>
    <w:rsid w:val="0078146D"/>
    <w:rsid w:val="00781B99"/>
    <w:rsid w:val="00782079"/>
    <w:rsid w:val="00785016"/>
    <w:rsid w:val="007855E8"/>
    <w:rsid w:val="00785B9B"/>
    <w:rsid w:val="00786467"/>
    <w:rsid w:val="00790D97"/>
    <w:rsid w:val="007910AD"/>
    <w:rsid w:val="00796912"/>
    <w:rsid w:val="00797DE4"/>
    <w:rsid w:val="007A0866"/>
    <w:rsid w:val="007A0D04"/>
    <w:rsid w:val="007A1EC2"/>
    <w:rsid w:val="007A5FED"/>
    <w:rsid w:val="007A6373"/>
    <w:rsid w:val="007B09A5"/>
    <w:rsid w:val="007B1BF9"/>
    <w:rsid w:val="007B1F78"/>
    <w:rsid w:val="007B22E2"/>
    <w:rsid w:val="007B2C88"/>
    <w:rsid w:val="007B3326"/>
    <w:rsid w:val="007B4D9B"/>
    <w:rsid w:val="007B6BCC"/>
    <w:rsid w:val="007C0B5B"/>
    <w:rsid w:val="007C176E"/>
    <w:rsid w:val="007C2CF0"/>
    <w:rsid w:val="007C334B"/>
    <w:rsid w:val="007C3A4D"/>
    <w:rsid w:val="007C52B4"/>
    <w:rsid w:val="007C5324"/>
    <w:rsid w:val="007C5AE8"/>
    <w:rsid w:val="007D143C"/>
    <w:rsid w:val="007D1480"/>
    <w:rsid w:val="007D181D"/>
    <w:rsid w:val="007D219D"/>
    <w:rsid w:val="007D4EF1"/>
    <w:rsid w:val="007D5765"/>
    <w:rsid w:val="007D652E"/>
    <w:rsid w:val="007D6FBF"/>
    <w:rsid w:val="007E0110"/>
    <w:rsid w:val="007E2CF4"/>
    <w:rsid w:val="007E45D3"/>
    <w:rsid w:val="007E5249"/>
    <w:rsid w:val="007E642B"/>
    <w:rsid w:val="007E6E61"/>
    <w:rsid w:val="007E7223"/>
    <w:rsid w:val="007E741F"/>
    <w:rsid w:val="007E7B68"/>
    <w:rsid w:val="007F266D"/>
    <w:rsid w:val="007F3C9D"/>
    <w:rsid w:val="007F4E8B"/>
    <w:rsid w:val="007F53AE"/>
    <w:rsid w:val="007F6FD4"/>
    <w:rsid w:val="007F71FB"/>
    <w:rsid w:val="00800C10"/>
    <w:rsid w:val="00801329"/>
    <w:rsid w:val="00801E2B"/>
    <w:rsid w:val="00802A3E"/>
    <w:rsid w:val="008036CF"/>
    <w:rsid w:val="0080407C"/>
    <w:rsid w:val="00812B48"/>
    <w:rsid w:val="00814F73"/>
    <w:rsid w:val="008211DC"/>
    <w:rsid w:val="008217DF"/>
    <w:rsid w:val="008222A2"/>
    <w:rsid w:val="0082361D"/>
    <w:rsid w:val="00825045"/>
    <w:rsid w:val="00825568"/>
    <w:rsid w:val="008257DF"/>
    <w:rsid w:val="0082735A"/>
    <w:rsid w:val="0082788F"/>
    <w:rsid w:val="0083040D"/>
    <w:rsid w:val="00832303"/>
    <w:rsid w:val="00832EB0"/>
    <w:rsid w:val="00832FDD"/>
    <w:rsid w:val="0083305E"/>
    <w:rsid w:val="008330EC"/>
    <w:rsid w:val="0083379E"/>
    <w:rsid w:val="00834443"/>
    <w:rsid w:val="0084015F"/>
    <w:rsid w:val="00840596"/>
    <w:rsid w:val="0084195C"/>
    <w:rsid w:val="008423A5"/>
    <w:rsid w:val="008430F3"/>
    <w:rsid w:val="008431CB"/>
    <w:rsid w:val="0084544C"/>
    <w:rsid w:val="00846A56"/>
    <w:rsid w:val="0084758F"/>
    <w:rsid w:val="008510CD"/>
    <w:rsid w:val="00852DE4"/>
    <w:rsid w:val="00852F4B"/>
    <w:rsid w:val="00855289"/>
    <w:rsid w:val="00855343"/>
    <w:rsid w:val="008602A0"/>
    <w:rsid w:val="0086137D"/>
    <w:rsid w:val="0086450A"/>
    <w:rsid w:val="0086629D"/>
    <w:rsid w:val="0086678B"/>
    <w:rsid w:val="00866D70"/>
    <w:rsid w:val="00866F50"/>
    <w:rsid w:val="00867493"/>
    <w:rsid w:val="00871103"/>
    <w:rsid w:val="0087327E"/>
    <w:rsid w:val="00873307"/>
    <w:rsid w:val="0087390B"/>
    <w:rsid w:val="0087467B"/>
    <w:rsid w:val="00875027"/>
    <w:rsid w:val="00877417"/>
    <w:rsid w:val="00882763"/>
    <w:rsid w:val="0088312D"/>
    <w:rsid w:val="008840C6"/>
    <w:rsid w:val="00885EAB"/>
    <w:rsid w:val="00890386"/>
    <w:rsid w:val="00891449"/>
    <w:rsid w:val="00891544"/>
    <w:rsid w:val="00892760"/>
    <w:rsid w:val="00893A58"/>
    <w:rsid w:val="00894CA4"/>
    <w:rsid w:val="00895B69"/>
    <w:rsid w:val="00897134"/>
    <w:rsid w:val="00897C33"/>
    <w:rsid w:val="008A0603"/>
    <w:rsid w:val="008A2BEB"/>
    <w:rsid w:val="008A3221"/>
    <w:rsid w:val="008A33B1"/>
    <w:rsid w:val="008A3405"/>
    <w:rsid w:val="008A53A4"/>
    <w:rsid w:val="008A67FB"/>
    <w:rsid w:val="008A6C4A"/>
    <w:rsid w:val="008A7791"/>
    <w:rsid w:val="008A78D9"/>
    <w:rsid w:val="008B2816"/>
    <w:rsid w:val="008B2D82"/>
    <w:rsid w:val="008B62FF"/>
    <w:rsid w:val="008B66FA"/>
    <w:rsid w:val="008B704E"/>
    <w:rsid w:val="008C244A"/>
    <w:rsid w:val="008C4243"/>
    <w:rsid w:val="008C6E66"/>
    <w:rsid w:val="008D0BB4"/>
    <w:rsid w:val="008D16DD"/>
    <w:rsid w:val="008D1C1D"/>
    <w:rsid w:val="008D2514"/>
    <w:rsid w:val="008E00C4"/>
    <w:rsid w:val="008E2C0A"/>
    <w:rsid w:val="008E328C"/>
    <w:rsid w:val="008E3894"/>
    <w:rsid w:val="008E52D5"/>
    <w:rsid w:val="008E5AB2"/>
    <w:rsid w:val="008F0301"/>
    <w:rsid w:val="008F0527"/>
    <w:rsid w:val="008F1236"/>
    <w:rsid w:val="008F21D4"/>
    <w:rsid w:val="008F3730"/>
    <w:rsid w:val="008F5085"/>
    <w:rsid w:val="008F6D51"/>
    <w:rsid w:val="008F7C1E"/>
    <w:rsid w:val="00900C59"/>
    <w:rsid w:val="00901578"/>
    <w:rsid w:val="00903705"/>
    <w:rsid w:val="00903CDA"/>
    <w:rsid w:val="00905241"/>
    <w:rsid w:val="009056A5"/>
    <w:rsid w:val="00905EE5"/>
    <w:rsid w:val="00907D65"/>
    <w:rsid w:val="00907E00"/>
    <w:rsid w:val="00910A18"/>
    <w:rsid w:val="009118F8"/>
    <w:rsid w:val="009129AD"/>
    <w:rsid w:val="00912BA5"/>
    <w:rsid w:val="00915379"/>
    <w:rsid w:val="00915C50"/>
    <w:rsid w:val="00916353"/>
    <w:rsid w:val="00921065"/>
    <w:rsid w:val="009252EC"/>
    <w:rsid w:val="009256D0"/>
    <w:rsid w:val="00925B75"/>
    <w:rsid w:val="00926EF9"/>
    <w:rsid w:val="009307FC"/>
    <w:rsid w:val="00932E8A"/>
    <w:rsid w:val="0093319A"/>
    <w:rsid w:val="00934D69"/>
    <w:rsid w:val="0093595E"/>
    <w:rsid w:val="0094192B"/>
    <w:rsid w:val="00941BF4"/>
    <w:rsid w:val="0094241D"/>
    <w:rsid w:val="00942BBE"/>
    <w:rsid w:val="00942C4D"/>
    <w:rsid w:val="00944059"/>
    <w:rsid w:val="009468F1"/>
    <w:rsid w:val="0095494F"/>
    <w:rsid w:val="00957C86"/>
    <w:rsid w:val="00960C96"/>
    <w:rsid w:val="00961DF0"/>
    <w:rsid w:val="0096323C"/>
    <w:rsid w:val="009648E2"/>
    <w:rsid w:val="0096591C"/>
    <w:rsid w:val="00966392"/>
    <w:rsid w:val="0096695C"/>
    <w:rsid w:val="00967447"/>
    <w:rsid w:val="00967EB9"/>
    <w:rsid w:val="00967FEC"/>
    <w:rsid w:val="00974117"/>
    <w:rsid w:val="00975082"/>
    <w:rsid w:val="0097551A"/>
    <w:rsid w:val="0098158F"/>
    <w:rsid w:val="00983F97"/>
    <w:rsid w:val="00983F9C"/>
    <w:rsid w:val="0098547B"/>
    <w:rsid w:val="009857E5"/>
    <w:rsid w:val="0098641B"/>
    <w:rsid w:val="009909D5"/>
    <w:rsid w:val="0099544C"/>
    <w:rsid w:val="00995E29"/>
    <w:rsid w:val="00996F88"/>
    <w:rsid w:val="00997E59"/>
    <w:rsid w:val="009A2495"/>
    <w:rsid w:val="009A2980"/>
    <w:rsid w:val="009A5BDB"/>
    <w:rsid w:val="009B25DC"/>
    <w:rsid w:val="009B6F5B"/>
    <w:rsid w:val="009C0175"/>
    <w:rsid w:val="009C1334"/>
    <w:rsid w:val="009C1642"/>
    <w:rsid w:val="009C2B51"/>
    <w:rsid w:val="009C357C"/>
    <w:rsid w:val="009C3AD8"/>
    <w:rsid w:val="009C3CE5"/>
    <w:rsid w:val="009C5BF3"/>
    <w:rsid w:val="009C6208"/>
    <w:rsid w:val="009C71E8"/>
    <w:rsid w:val="009D0570"/>
    <w:rsid w:val="009D0C16"/>
    <w:rsid w:val="009D1B69"/>
    <w:rsid w:val="009D2EDC"/>
    <w:rsid w:val="009D368F"/>
    <w:rsid w:val="009D3D8D"/>
    <w:rsid w:val="009D4682"/>
    <w:rsid w:val="009D584B"/>
    <w:rsid w:val="009D5B6C"/>
    <w:rsid w:val="009D5ECF"/>
    <w:rsid w:val="009D6380"/>
    <w:rsid w:val="009D6B9D"/>
    <w:rsid w:val="009E0314"/>
    <w:rsid w:val="009E13B1"/>
    <w:rsid w:val="009E1669"/>
    <w:rsid w:val="009E35B7"/>
    <w:rsid w:val="009E3E77"/>
    <w:rsid w:val="009E644A"/>
    <w:rsid w:val="009F488B"/>
    <w:rsid w:val="00A00378"/>
    <w:rsid w:val="00A038D6"/>
    <w:rsid w:val="00A04377"/>
    <w:rsid w:val="00A052D4"/>
    <w:rsid w:val="00A05385"/>
    <w:rsid w:val="00A058A0"/>
    <w:rsid w:val="00A064A3"/>
    <w:rsid w:val="00A10609"/>
    <w:rsid w:val="00A10C0A"/>
    <w:rsid w:val="00A11195"/>
    <w:rsid w:val="00A15789"/>
    <w:rsid w:val="00A1656D"/>
    <w:rsid w:val="00A209BA"/>
    <w:rsid w:val="00A20ADE"/>
    <w:rsid w:val="00A22865"/>
    <w:rsid w:val="00A24202"/>
    <w:rsid w:val="00A24987"/>
    <w:rsid w:val="00A25579"/>
    <w:rsid w:val="00A26F74"/>
    <w:rsid w:val="00A27C94"/>
    <w:rsid w:val="00A30BC0"/>
    <w:rsid w:val="00A31578"/>
    <w:rsid w:val="00A360FA"/>
    <w:rsid w:val="00A37784"/>
    <w:rsid w:val="00A40219"/>
    <w:rsid w:val="00A4259E"/>
    <w:rsid w:val="00A430C8"/>
    <w:rsid w:val="00A466F1"/>
    <w:rsid w:val="00A5183E"/>
    <w:rsid w:val="00A52E30"/>
    <w:rsid w:val="00A5327B"/>
    <w:rsid w:val="00A55CF5"/>
    <w:rsid w:val="00A561B8"/>
    <w:rsid w:val="00A56455"/>
    <w:rsid w:val="00A56C51"/>
    <w:rsid w:val="00A56CD8"/>
    <w:rsid w:val="00A57132"/>
    <w:rsid w:val="00A60B66"/>
    <w:rsid w:val="00A60E87"/>
    <w:rsid w:val="00A61833"/>
    <w:rsid w:val="00A61B3C"/>
    <w:rsid w:val="00A6370E"/>
    <w:rsid w:val="00A63BD4"/>
    <w:rsid w:val="00A63DC6"/>
    <w:rsid w:val="00A6489E"/>
    <w:rsid w:val="00A659BA"/>
    <w:rsid w:val="00A663B5"/>
    <w:rsid w:val="00A6703D"/>
    <w:rsid w:val="00A67ED2"/>
    <w:rsid w:val="00A71174"/>
    <w:rsid w:val="00A7363E"/>
    <w:rsid w:val="00A740B2"/>
    <w:rsid w:val="00A757C8"/>
    <w:rsid w:val="00A80CA1"/>
    <w:rsid w:val="00A815B0"/>
    <w:rsid w:val="00A81D36"/>
    <w:rsid w:val="00A82C29"/>
    <w:rsid w:val="00A84ADA"/>
    <w:rsid w:val="00A85F25"/>
    <w:rsid w:val="00A86974"/>
    <w:rsid w:val="00A901D5"/>
    <w:rsid w:val="00A9054D"/>
    <w:rsid w:val="00A90E9D"/>
    <w:rsid w:val="00A911E5"/>
    <w:rsid w:val="00A9169D"/>
    <w:rsid w:val="00A9208C"/>
    <w:rsid w:val="00A92618"/>
    <w:rsid w:val="00A92785"/>
    <w:rsid w:val="00A929B4"/>
    <w:rsid w:val="00A95516"/>
    <w:rsid w:val="00A96CAD"/>
    <w:rsid w:val="00AA0454"/>
    <w:rsid w:val="00AA0ECB"/>
    <w:rsid w:val="00AA1662"/>
    <w:rsid w:val="00AA17F6"/>
    <w:rsid w:val="00AA1A20"/>
    <w:rsid w:val="00AA1C7E"/>
    <w:rsid w:val="00AA27BF"/>
    <w:rsid w:val="00AA30F9"/>
    <w:rsid w:val="00AA48AE"/>
    <w:rsid w:val="00AA4F56"/>
    <w:rsid w:val="00AB002B"/>
    <w:rsid w:val="00AB2106"/>
    <w:rsid w:val="00AB23AB"/>
    <w:rsid w:val="00AB27E1"/>
    <w:rsid w:val="00AB2D8C"/>
    <w:rsid w:val="00AB6D33"/>
    <w:rsid w:val="00AB7907"/>
    <w:rsid w:val="00AC0927"/>
    <w:rsid w:val="00AC1750"/>
    <w:rsid w:val="00AC18AF"/>
    <w:rsid w:val="00AC4235"/>
    <w:rsid w:val="00AC518C"/>
    <w:rsid w:val="00AC5960"/>
    <w:rsid w:val="00AC6A5D"/>
    <w:rsid w:val="00AC7758"/>
    <w:rsid w:val="00AD103F"/>
    <w:rsid w:val="00AD3BE3"/>
    <w:rsid w:val="00AE1119"/>
    <w:rsid w:val="00AE2212"/>
    <w:rsid w:val="00AE5CE4"/>
    <w:rsid w:val="00AE7524"/>
    <w:rsid w:val="00AF043C"/>
    <w:rsid w:val="00AF07DD"/>
    <w:rsid w:val="00AF268B"/>
    <w:rsid w:val="00AF340A"/>
    <w:rsid w:val="00AF41F2"/>
    <w:rsid w:val="00AF6602"/>
    <w:rsid w:val="00AF7F11"/>
    <w:rsid w:val="00B0050D"/>
    <w:rsid w:val="00B029BF"/>
    <w:rsid w:val="00B03E82"/>
    <w:rsid w:val="00B04BFD"/>
    <w:rsid w:val="00B05008"/>
    <w:rsid w:val="00B05C11"/>
    <w:rsid w:val="00B05C28"/>
    <w:rsid w:val="00B06092"/>
    <w:rsid w:val="00B06167"/>
    <w:rsid w:val="00B06171"/>
    <w:rsid w:val="00B07A73"/>
    <w:rsid w:val="00B14558"/>
    <w:rsid w:val="00B15439"/>
    <w:rsid w:val="00B157D4"/>
    <w:rsid w:val="00B16B75"/>
    <w:rsid w:val="00B16F0D"/>
    <w:rsid w:val="00B17BEB"/>
    <w:rsid w:val="00B20FB2"/>
    <w:rsid w:val="00B21B6A"/>
    <w:rsid w:val="00B22F9B"/>
    <w:rsid w:val="00B23C48"/>
    <w:rsid w:val="00B24011"/>
    <w:rsid w:val="00B245C8"/>
    <w:rsid w:val="00B2491F"/>
    <w:rsid w:val="00B2640A"/>
    <w:rsid w:val="00B2664C"/>
    <w:rsid w:val="00B275F5"/>
    <w:rsid w:val="00B27F4D"/>
    <w:rsid w:val="00B3173B"/>
    <w:rsid w:val="00B32646"/>
    <w:rsid w:val="00B32997"/>
    <w:rsid w:val="00B348D4"/>
    <w:rsid w:val="00B34CA7"/>
    <w:rsid w:val="00B359DA"/>
    <w:rsid w:val="00B35EEA"/>
    <w:rsid w:val="00B36120"/>
    <w:rsid w:val="00B366BA"/>
    <w:rsid w:val="00B37050"/>
    <w:rsid w:val="00B41439"/>
    <w:rsid w:val="00B41874"/>
    <w:rsid w:val="00B41DCD"/>
    <w:rsid w:val="00B42767"/>
    <w:rsid w:val="00B431D0"/>
    <w:rsid w:val="00B44EF9"/>
    <w:rsid w:val="00B45A5A"/>
    <w:rsid w:val="00B46643"/>
    <w:rsid w:val="00B47093"/>
    <w:rsid w:val="00B50811"/>
    <w:rsid w:val="00B5105A"/>
    <w:rsid w:val="00B515FF"/>
    <w:rsid w:val="00B51E67"/>
    <w:rsid w:val="00B52EEC"/>
    <w:rsid w:val="00B533C7"/>
    <w:rsid w:val="00B5380E"/>
    <w:rsid w:val="00B54182"/>
    <w:rsid w:val="00B567CF"/>
    <w:rsid w:val="00B56E71"/>
    <w:rsid w:val="00B579B0"/>
    <w:rsid w:val="00B6070A"/>
    <w:rsid w:val="00B619EA"/>
    <w:rsid w:val="00B63B2F"/>
    <w:rsid w:val="00B6585F"/>
    <w:rsid w:val="00B66F39"/>
    <w:rsid w:val="00B67C9A"/>
    <w:rsid w:val="00B67CE0"/>
    <w:rsid w:val="00B70A33"/>
    <w:rsid w:val="00B76533"/>
    <w:rsid w:val="00B7718E"/>
    <w:rsid w:val="00B82773"/>
    <w:rsid w:val="00B8349A"/>
    <w:rsid w:val="00B847F3"/>
    <w:rsid w:val="00B849E3"/>
    <w:rsid w:val="00B8675A"/>
    <w:rsid w:val="00B90732"/>
    <w:rsid w:val="00B915A4"/>
    <w:rsid w:val="00B91CA9"/>
    <w:rsid w:val="00B922EC"/>
    <w:rsid w:val="00B92D97"/>
    <w:rsid w:val="00B92DF6"/>
    <w:rsid w:val="00B94868"/>
    <w:rsid w:val="00B94B50"/>
    <w:rsid w:val="00B961E3"/>
    <w:rsid w:val="00B972CA"/>
    <w:rsid w:val="00B97F94"/>
    <w:rsid w:val="00BA05D9"/>
    <w:rsid w:val="00BA0E27"/>
    <w:rsid w:val="00BA14BC"/>
    <w:rsid w:val="00BA1C3B"/>
    <w:rsid w:val="00BA269B"/>
    <w:rsid w:val="00BA2D37"/>
    <w:rsid w:val="00BA2E4F"/>
    <w:rsid w:val="00BA2EE6"/>
    <w:rsid w:val="00BA2F00"/>
    <w:rsid w:val="00BA3F62"/>
    <w:rsid w:val="00BA461B"/>
    <w:rsid w:val="00BA5A9D"/>
    <w:rsid w:val="00BA65FD"/>
    <w:rsid w:val="00BA6CC3"/>
    <w:rsid w:val="00BA7786"/>
    <w:rsid w:val="00BB25D0"/>
    <w:rsid w:val="00BB28FA"/>
    <w:rsid w:val="00BB4A31"/>
    <w:rsid w:val="00BB559F"/>
    <w:rsid w:val="00BB6EF1"/>
    <w:rsid w:val="00BC1058"/>
    <w:rsid w:val="00BC1816"/>
    <w:rsid w:val="00BC2400"/>
    <w:rsid w:val="00BC30F3"/>
    <w:rsid w:val="00BC4852"/>
    <w:rsid w:val="00BC5601"/>
    <w:rsid w:val="00BC5F6B"/>
    <w:rsid w:val="00BC6E8A"/>
    <w:rsid w:val="00BC7625"/>
    <w:rsid w:val="00BC7B2F"/>
    <w:rsid w:val="00BC7B35"/>
    <w:rsid w:val="00BD10C4"/>
    <w:rsid w:val="00BD1176"/>
    <w:rsid w:val="00BD1523"/>
    <w:rsid w:val="00BD234A"/>
    <w:rsid w:val="00BD2B35"/>
    <w:rsid w:val="00BD7941"/>
    <w:rsid w:val="00BE44FB"/>
    <w:rsid w:val="00BE4AE8"/>
    <w:rsid w:val="00BE53D0"/>
    <w:rsid w:val="00BF0973"/>
    <w:rsid w:val="00BF0B38"/>
    <w:rsid w:val="00BF244C"/>
    <w:rsid w:val="00BF26A2"/>
    <w:rsid w:val="00BF3681"/>
    <w:rsid w:val="00BF3D6E"/>
    <w:rsid w:val="00BF4019"/>
    <w:rsid w:val="00BF42AD"/>
    <w:rsid w:val="00BF44E0"/>
    <w:rsid w:val="00BF4C35"/>
    <w:rsid w:val="00BF6CE0"/>
    <w:rsid w:val="00C021B9"/>
    <w:rsid w:val="00C068BC"/>
    <w:rsid w:val="00C0719D"/>
    <w:rsid w:val="00C07889"/>
    <w:rsid w:val="00C10406"/>
    <w:rsid w:val="00C12C73"/>
    <w:rsid w:val="00C13AF1"/>
    <w:rsid w:val="00C14B7E"/>
    <w:rsid w:val="00C153D1"/>
    <w:rsid w:val="00C1596E"/>
    <w:rsid w:val="00C1655A"/>
    <w:rsid w:val="00C16789"/>
    <w:rsid w:val="00C1689A"/>
    <w:rsid w:val="00C16D79"/>
    <w:rsid w:val="00C17A89"/>
    <w:rsid w:val="00C17D49"/>
    <w:rsid w:val="00C206A2"/>
    <w:rsid w:val="00C23B55"/>
    <w:rsid w:val="00C23C50"/>
    <w:rsid w:val="00C23FF5"/>
    <w:rsid w:val="00C26944"/>
    <w:rsid w:val="00C26B40"/>
    <w:rsid w:val="00C271CA"/>
    <w:rsid w:val="00C27580"/>
    <w:rsid w:val="00C27A31"/>
    <w:rsid w:val="00C318B4"/>
    <w:rsid w:val="00C31A1A"/>
    <w:rsid w:val="00C328B3"/>
    <w:rsid w:val="00C33B3D"/>
    <w:rsid w:val="00C34DC1"/>
    <w:rsid w:val="00C408F4"/>
    <w:rsid w:val="00C421A1"/>
    <w:rsid w:val="00C4269B"/>
    <w:rsid w:val="00C42DB5"/>
    <w:rsid w:val="00C43632"/>
    <w:rsid w:val="00C43E96"/>
    <w:rsid w:val="00C4463B"/>
    <w:rsid w:val="00C44A99"/>
    <w:rsid w:val="00C534F3"/>
    <w:rsid w:val="00C535D1"/>
    <w:rsid w:val="00C53E23"/>
    <w:rsid w:val="00C53E3D"/>
    <w:rsid w:val="00C600C7"/>
    <w:rsid w:val="00C60777"/>
    <w:rsid w:val="00C6176B"/>
    <w:rsid w:val="00C6321F"/>
    <w:rsid w:val="00C63E55"/>
    <w:rsid w:val="00C63F15"/>
    <w:rsid w:val="00C656C5"/>
    <w:rsid w:val="00C7049B"/>
    <w:rsid w:val="00C70BA0"/>
    <w:rsid w:val="00C710FE"/>
    <w:rsid w:val="00C8019D"/>
    <w:rsid w:val="00C814B7"/>
    <w:rsid w:val="00C82F55"/>
    <w:rsid w:val="00C84BA2"/>
    <w:rsid w:val="00C852F2"/>
    <w:rsid w:val="00C90094"/>
    <w:rsid w:val="00C90DEF"/>
    <w:rsid w:val="00C92513"/>
    <w:rsid w:val="00C927B1"/>
    <w:rsid w:val="00C94BE9"/>
    <w:rsid w:val="00C952F7"/>
    <w:rsid w:val="00C95862"/>
    <w:rsid w:val="00C96A61"/>
    <w:rsid w:val="00C975BB"/>
    <w:rsid w:val="00CA0857"/>
    <w:rsid w:val="00CA1A67"/>
    <w:rsid w:val="00CA205E"/>
    <w:rsid w:val="00CA2197"/>
    <w:rsid w:val="00CA3B47"/>
    <w:rsid w:val="00CA40BD"/>
    <w:rsid w:val="00CA4F64"/>
    <w:rsid w:val="00CA63F4"/>
    <w:rsid w:val="00CA6818"/>
    <w:rsid w:val="00CA6D15"/>
    <w:rsid w:val="00CA7471"/>
    <w:rsid w:val="00CB016D"/>
    <w:rsid w:val="00CB0949"/>
    <w:rsid w:val="00CB14C5"/>
    <w:rsid w:val="00CB2069"/>
    <w:rsid w:val="00CB209A"/>
    <w:rsid w:val="00CB2FEC"/>
    <w:rsid w:val="00CB4923"/>
    <w:rsid w:val="00CC0DBD"/>
    <w:rsid w:val="00CC0FEF"/>
    <w:rsid w:val="00CC1603"/>
    <w:rsid w:val="00CC3BF8"/>
    <w:rsid w:val="00CC51A9"/>
    <w:rsid w:val="00CC580C"/>
    <w:rsid w:val="00CD0238"/>
    <w:rsid w:val="00CD0F31"/>
    <w:rsid w:val="00CD2D62"/>
    <w:rsid w:val="00CD2E60"/>
    <w:rsid w:val="00CD355B"/>
    <w:rsid w:val="00CD3943"/>
    <w:rsid w:val="00CD415F"/>
    <w:rsid w:val="00CD545E"/>
    <w:rsid w:val="00CD5621"/>
    <w:rsid w:val="00CD5776"/>
    <w:rsid w:val="00CD627A"/>
    <w:rsid w:val="00CD6916"/>
    <w:rsid w:val="00CD6A9E"/>
    <w:rsid w:val="00CE03C6"/>
    <w:rsid w:val="00CE045E"/>
    <w:rsid w:val="00CE2E07"/>
    <w:rsid w:val="00CE339E"/>
    <w:rsid w:val="00CE3484"/>
    <w:rsid w:val="00CE52FC"/>
    <w:rsid w:val="00CE6561"/>
    <w:rsid w:val="00CE767B"/>
    <w:rsid w:val="00CF1021"/>
    <w:rsid w:val="00CF16C2"/>
    <w:rsid w:val="00CF2BC3"/>
    <w:rsid w:val="00CF416C"/>
    <w:rsid w:val="00CF680A"/>
    <w:rsid w:val="00CF79C6"/>
    <w:rsid w:val="00D010F8"/>
    <w:rsid w:val="00D018C6"/>
    <w:rsid w:val="00D073DF"/>
    <w:rsid w:val="00D10CF1"/>
    <w:rsid w:val="00D144CE"/>
    <w:rsid w:val="00D160EB"/>
    <w:rsid w:val="00D16A1D"/>
    <w:rsid w:val="00D17C5C"/>
    <w:rsid w:val="00D21797"/>
    <w:rsid w:val="00D218B3"/>
    <w:rsid w:val="00D23286"/>
    <w:rsid w:val="00D239B3"/>
    <w:rsid w:val="00D245CE"/>
    <w:rsid w:val="00D24F22"/>
    <w:rsid w:val="00D264B0"/>
    <w:rsid w:val="00D31B78"/>
    <w:rsid w:val="00D33757"/>
    <w:rsid w:val="00D3407E"/>
    <w:rsid w:val="00D36E2C"/>
    <w:rsid w:val="00D400B2"/>
    <w:rsid w:val="00D4044C"/>
    <w:rsid w:val="00D41AFA"/>
    <w:rsid w:val="00D42D42"/>
    <w:rsid w:val="00D44AF5"/>
    <w:rsid w:val="00D44EBE"/>
    <w:rsid w:val="00D4625A"/>
    <w:rsid w:val="00D47222"/>
    <w:rsid w:val="00D47DDB"/>
    <w:rsid w:val="00D50159"/>
    <w:rsid w:val="00D511DE"/>
    <w:rsid w:val="00D51CA3"/>
    <w:rsid w:val="00D51E24"/>
    <w:rsid w:val="00D5269D"/>
    <w:rsid w:val="00D54847"/>
    <w:rsid w:val="00D54ED8"/>
    <w:rsid w:val="00D54FAB"/>
    <w:rsid w:val="00D5513A"/>
    <w:rsid w:val="00D5592B"/>
    <w:rsid w:val="00D55E26"/>
    <w:rsid w:val="00D5710D"/>
    <w:rsid w:val="00D5735F"/>
    <w:rsid w:val="00D61B03"/>
    <w:rsid w:val="00D622D0"/>
    <w:rsid w:val="00D62AA1"/>
    <w:rsid w:val="00D63959"/>
    <w:rsid w:val="00D6590C"/>
    <w:rsid w:val="00D6594E"/>
    <w:rsid w:val="00D67D62"/>
    <w:rsid w:val="00D706DD"/>
    <w:rsid w:val="00D736DC"/>
    <w:rsid w:val="00D73F70"/>
    <w:rsid w:val="00D75272"/>
    <w:rsid w:val="00D8346F"/>
    <w:rsid w:val="00D839AD"/>
    <w:rsid w:val="00D83C82"/>
    <w:rsid w:val="00D845B4"/>
    <w:rsid w:val="00D84977"/>
    <w:rsid w:val="00D865B3"/>
    <w:rsid w:val="00D86BD7"/>
    <w:rsid w:val="00D86E2D"/>
    <w:rsid w:val="00D90B0C"/>
    <w:rsid w:val="00D90F4E"/>
    <w:rsid w:val="00D935DD"/>
    <w:rsid w:val="00D9424A"/>
    <w:rsid w:val="00D96DC3"/>
    <w:rsid w:val="00DA02C9"/>
    <w:rsid w:val="00DA0488"/>
    <w:rsid w:val="00DA140B"/>
    <w:rsid w:val="00DA1B6E"/>
    <w:rsid w:val="00DA22D3"/>
    <w:rsid w:val="00DA28BA"/>
    <w:rsid w:val="00DA62F5"/>
    <w:rsid w:val="00DA7407"/>
    <w:rsid w:val="00DB11FE"/>
    <w:rsid w:val="00DB1E4F"/>
    <w:rsid w:val="00DB2F51"/>
    <w:rsid w:val="00DB3F23"/>
    <w:rsid w:val="00DB46BE"/>
    <w:rsid w:val="00DB53DC"/>
    <w:rsid w:val="00DB5F5D"/>
    <w:rsid w:val="00DB6DA2"/>
    <w:rsid w:val="00DB7A53"/>
    <w:rsid w:val="00DB7E06"/>
    <w:rsid w:val="00DC10E1"/>
    <w:rsid w:val="00DC2D20"/>
    <w:rsid w:val="00DC2FC4"/>
    <w:rsid w:val="00DC3D24"/>
    <w:rsid w:val="00DC6261"/>
    <w:rsid w:val="00DC6545"/>
    <w:rsid w:val="00DC7A4B"/>
    <w:rsid w:val="00DD0EC6"/>
    <w:rsid w:val="00DD0EF8"/>
    <w:rsid w:val="00DD22BB"/>
    <w:rsid w:val="00DD30B5"/>
    <w:rsid w:val="00DD3D55"/>
    <w:rsid w:val="00DD4110"/>
    <w:rsid w:val="00DD6BA5"/>
    <w:rsid w:val="00DE10BB"/>
    <w:rsid w:val="00DE21CB"/>
    <w:rsid w:val="00DE2F28"/>
    <w:rsid w:val="00DE3149"/>
    <w:rsid w:val="00DE3412"/>
    <w:rsid w:val="00DE4616"/>
    <w:rsid w:val="00DE4E7E"/>
    <w:rsid w:val="00DE5965"/>
    <w:rsid w:val="00DE790E"/>
    <w:rsid w:val="00DF26ED"/>
    <w:rsid w:val="00DF27B3"/>
    <w:rsid w:val="00DF2920"/>
    <w:rsid w:val="00DF4627"/>
    <w:rsid w:val="00DF57DE"/>
    <w:rsid w:val="00DF5D59"/>
    <w:rsid w:val="00DF708D"/>
    <w:rsid w:val="00DF7777"/>
    <w:rsid w:val="00DF7CBB"/>
    <w:rsid w:val="00DF7E56"/>
    <w:rsid w:val="00E01CA6"/>
    <w:rsid w:val="00E023CB"/>
    <w:rsid w:val="00E048E1"/>
    <w:rsid w:val="00E05416"/>
    <w:rsid w:val="00E11929"/>
    <w:rsid w:val="00E1209F"/>
    <w:rsid w:val="00E132F9"/>
    <w:rsid w:val="00E14406"/>
    <w:rsid w:val="00E1573B"/>
    <w:rsid w:val="00E165AC"/>
    <w:rsid w:val="00E17161"/>
    <w:rsid w:val="00E1771D"/>
    <w:rsid w:val="00E21323"/>
    <w:rsid w:val="00E21B0E"/>
    <w:rsid w:val="00E22FA6"/>
    <w:rsid w:val="00E26860"/>
    <w:rsid w:val="00E26D0A"/>
    <w:rsid w:val="00E30EAC"/>
    <w:rsid w:val="00E31233"/>
    <w:rsid w:val="00E31F05"/>
    <w:rsid w:val="00E32CEC"/>
    <w:rsid w:val="00E32F51"/>
    <w:rsid w:val="00E32F6F"/>
    <w:rsid w:val="00E33809"/>
    <w:rsid w:val="00E33F08"/>
    <w:rsid w:val="00E40271"/>
    <w:rsid w:val="00E40CE0"/>
    <w:rsid w:val="00E40E5F"/>
    <w:rsid w:val="00E41AB6"/>
    <w:rsid w:val="00E45BB9"/>
    <w:rsid w:val="00E51EE1"/>
    <w:rsid w:val="00E52187"/>
    <w:rsid w:val="00E52507"/>
    <w:rsid w:val="00E568DD"/>
    <w:rsid w:val="00E5703C"/>
    <w:rsid w:val="00E61057"/>
    <w:rsid w:val="00E6123E"/>
    <w:rsid w:val="00E61B93"/>
    <w:rsid w:val="00E63042"/>
    <w:rsid w:val="00E6349C"/>
    <w:rsid w:val="00E635DD"/>
    <w:rsid w:val="00E63B06"/>
    <w:rsid w:val="00E653E9"/>
    <w:rsid w:val="00E665E1"/>
    <w:rsid w:val="00E668FD"/>
    <w:rsid w:val="00E6717A"/>
    <w:rsid w:val="00E703E5"/>
    <w:rsid w:val="00E704BD"/>
    <w:rsid w:val="00E70648"/>
    <w:rsid w:val="00E71AD7"/>
    <w:rsid w:val="00E72501"/>
    <w:rsid w:val="00E72F8A"/>
    <w:rsid w:val="00E736ED"/>
    <w:rsid w:val="00E73EB5"/>
    <w:rsid w:val="00E7453A"/>
    <w:rsid w:val="00E75BF9"/>
    <w:rsid w:val="00E75C4A"/>
    <w:rsid w:val="00E7608C"/>
    <w:rsid w:val="00E761C3"/>
    <w:rsid w:val="00E76865"/>
    <w:rsid w:val="00E77B01"/>
    <w:rsid w:val="00E77C74"/>
    <w:rsid w:val="00E8130A"/>
    <w:rsid w:val="00E814E1"/>
    <w:rsid w:val="00E81AB8"/>
    <w:rsid w:val="00E830A6"/>
    <w:rsid w:val="00E879E9"/>
    <w:rsid w:val="00E90027"/>
    <w:rsid w:val="00E91B7B"/>
    <w:rsid w:val="00E94C65"/>
    <w:rsid w:val="00E94D91"/>
    <w:rsid w:val="00EA0C90"/>
    <w:rsid w:val="00EA2540"/>
    <w:rsid w:val="00EA6257"/>
    <w:rsid w:val="00EA687B"/>
    <w:rsid w:val="00EA6EA5"/>
    <w:rsid w:val="00EB189F"/>
    <w:rsid w:val="00EB72EA"/>
    <w:rsid w:val="00EC0BE4"/>
    <w:rsid w:val="00EC4314"/>
    <w:rsid w:val="00EC4CA5"/>
    <w:rsid w:val="00EC5A5F"/>
    <w:rsid w:val="00EC6627"/>
    <w:rsid w:val="00EC7704"/>
    <w:rsid w:val="00EC7903"/>
    <w:rsid w:val="00EC7C22"/>
    <w:rsid w:val="00ED1D44"/>
    <w:rsid w:val="00ED2ED1"/>
    <w:rsid w:val="00ED3792"/>
    <w:rsid w:val="00ED452B"/>
    <w:rsid w:val="00EE01B5"/>
    <w:rsid w:val="00EE3628"/>
    <w:rsid w:val="00EE4E3D"/>
    <w:rsid w:val="00EE4FB9"/>
    <w:rsid w:val="00EE614A"/>
    <w:rsid w:val="00EE774C"/>
    <w:rsid w:val="00EE797D"/>
    <w:rsid w:val="00EF1701"/>
    <w:rsid w:val="00EF2407"/>
    <w:rsid w:val="00EF2599"/>
    <w:rsid w:val="00EF3E4C"/>
    <w:rsid w:val="00EF4044"/>
    <w:rsid w:val="00EF42F9"/>
    <w:rsid w:val="00F04174"/>
    <w:rsid w:val="00F050E5"/>
    <w:rsid w:val="00F06014"/>
    <w:rsid w:val="00F06294"/>
    <w:rsid w:val="00F1415B"/>
    <w:rsid w:val="00F14AFB"/>
    <w:rsid w:val="00F16B93"/>
    <w:rsid w:val="00F24E0F"/>
    <w:rsid w:val="00F25C93"/>
    <w:rsid w:val="00F304CC"/>
    <w:rsid w:val="00F310D0"/>
    <w:rsid w:val="00F322D3"/>
    <w:rsid w:val="00F32577"/>
    <w:rsid w:val="00F33A47"/>
    <w:rsid w:val="00F33CCC"/>
    <w:rsid w:val="00F3503E"/>
    <w:rsid w:val="00F37241"/>
    <w:rsid w:val="00F37D50"/>
    <w:rsid w:val="00F4020B"/>
    <w:rsid w:val="00F40529"/>
    <w:rsid w:val="00F40708"/>
    <w:rsid w:val="00F40DFC"/>
    <w:rsid w:val="00F435AC"/>
    <w:rsid w:val="00F44B6D"/>
    <w:rsid w:val="00F455C2"/>
    <w:rsid w:val="00F46635"/>
    <w:rsid w:val="00F468E6"/>
    <w:rsid w:val="00F5204D"/>
    <w:rsid w:val="00F527DD"/>
    <w:rsid w:val="00F56278"/>
    <w:rsid w:val="00F61365"/>
    <w:rsid w:val="00F647FD"/>
    <w:rsid w:val="00F65BF3"/>
    <w:rsid w:val="00F65F83"/>
    <w:rsid w:val="00F71B26"/>
    <w:rsid w:val="00F72619"/>
    <w:rsid w:val="00F73627"/>
    <w:rsid w:val="00F748DD"/>
    <w:rsid w:val="00F75038"/>
    <w:rsid w:val="00F75A0F"/>
    <w:rsid w:val="00F75E36"/>
    <w:rsid w:val="00F7694F"/>
    <w:rsid w:val="00F77CF9"/>
    <w:rsid w:val="00F811B1"/>
    <w:rsid w:val="00F81451"/>
    <w:rsid w:val="00F81CB4"/>
    <w:rsid w:val="00F82ADA"/>
    <w:rsid w:val="00F83ED2"/>
    <w:rsid w:val="00F84067"/>
    <w:rsid w:val="00F85727"/>
    <w:rsid w:val="00F875A6"/>
    <w:rsid w:val="00F87792"/>
    <w:rsid w:val="00F90AEA"/>
    <w:rsid w:val="00F90C18"/>
    <w:rsid w:val="00F9305C"/>
    <w:rsid w:val="00F93769"/>
    <w:rsid w:val="00F93D9D"/>
    <w:rsid w:val="00F94FF7"/>
    <w:rsid w:val="00F95CD7"/>
    <w:rsid w:val="00F96A7A"/>
    <w:rsid w:val="00F96C5B"/>
    <w:rsid w:val="00F97249"/>
    <w:rsid w:val="00FA0CC4"/>
    <w:rsid w:val="00FA2997"/>
    <w:rsid w:val="00FA2E7F"/>
    <w:rsid w:val="00FA42D8"/>
    <w:rsid w:val="00FA7112"/>
    <w:rsid w:val="00FA7344"/>
    <w:rsid w:val="00FB3B1A"/>
    <w:rsid w:val="00FB3BAD"/>
    <w:rsid w:val="00FB4F28"/>
    <w:rsid w:val="00FB78F0"/>
    <w:rsid w:val="00FC17D1"/>
    <w:rsid w:val="00FC24BA"/>
    <w:rsid w:val="00FC4194"/>
    <w:rsid w:val="00FC4A0E"/>
    <w:rsid w:val="00FC7807"/>
    <w:rsid w:val="00FC7996"/>
    <w:rsid w:val="00FC7C10"/>
    <w:rsid w:val="00FD12F9"/>
    <w:rsid w:val="00FD35FD"/>
    <w:rsid w:val="00FD486F"/>
    <w:rsid w:val="00FD5556"/>
    <w:rsid w:val="00FD570C"/>
    <w:rsid w:val="00FD7A02"/>
    <w:rsid w:val="00FE07EA"/>
    <w:rsid w:val="00FE0BF3"/>
    <w:rsid w:val="00FE0E94"/>
    <w:rsid w:val="00FE1A09"/>
    <w:rsid w:val="00FE1DD6"/>
    <w:rsid w:val="00FE20C1"/>
    <w:rsid w:val="00FE2AD2"/>
    <w:rsid w:val="00FE52B9"/>
    <w:rsid w:val="00FE5CED"/>
    <w:rsid w:val="00FE6C73"/>
    <w:rsid w:val="00FE6CB6"/>
    <w:rsid w:val="00FF1DB3"/>
    <w:rsid w:val="00FF2084"/>
    <w:rsid w:val="00FF34F6"/>
    <w:rsid w:val="00FF41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99"/>
    <o:shapelayout v:ext="edit">
      <o:idmap v:ext="edit" data="2"/>
      <o:rules v:ext="edit">
        <o:r id="V:Rule1" type="callout" idref="#Callout: Line 2"/>
      </o:rules>
    </o:shapelayout>
  </w:shapeDefaults>
  <w:decimalSymbol w:val="."/>
  <w:listSeparator w:val=","/>
  <w14:docId w14:val="5316F29B"/>
  <w15:docId w15:val="{DAF54D31-423D-452D-A39C-869D235BD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bCs/>
    </w:rPr>
  </w:style>
  <w:style w:type="paragraph" w:styleId="Heading2">
    <w:name w:val="heading 2"/>
    <w:basedOn w:val="Normal"/>
    <w:next w:val="Normal"/>
    <w:link w:val="Heading2Char"/>
    <w:qFormat/>
    <w:pPr>
      <w:keepNext/>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sz w:val="28"/>
    </w:rPr>
  </w:style>
  <w:style w:type="paragraph" w:styleId="Subtitle">
    <w:name w:val="Subtitle"/>
    <w:basedOn w:val="Normal"/>
    <w:qFormat/>
    <w:pPr>
      <w:jc w:val="center"/>
    </w:pPr>
    <w:rPr>
      <w:b/>
      <w:bCs/>
    </w:rPr>
  </w:style>
  <w:style w:type="paragraph" w:styleId="Header">
    <w:name w:val="header"/>
    <w:basedOn w:val="Normal"/>
    <w:link w:val="HeaderChar"/>
    <w:uiPriority w:val="99"/>
    <w:unhideWhenUsed/>
    <w:rsid w:val="00D622D0"/>
    <w:pPr>
      <w:tabs>
        <w:tab w:val="center" w:pos="4680"/>
        <w:tab w:val="right" w:pos="9360"/>
      </w:tabs>
    </w:pPr>
    <w:rPr>
      <w:lang w:val="x-none" w:eastAsia="x-none"/>
    </w:rPr>
  </w:style>
  <w:style w:type="character" w:customStyle="1" w:styleId="HeaderChar">
    <w:name w:val="Header Char"/>
    <w:link w:val="Header"/>
    <w:uiPriority w:val="99"/>
    <w:rsid w:val="00D622D0"/>
    <w:rPr>
      <w:sz w:val="24"/>
      <w:szCs w:val="24"/>
    </w:rPr>
  </w:style>
  <w:style w:type="paragraph" w:styleId="Footer">
    <w:name w:val="footer"/>
    <w:basedOn w:val="Normal"/>
    <w:link w:val="FooterChar"/>
    <w:uiPriority w:val="99"/>
    <w:unhideWhenUsed/>
    <w:rsid w:val="00D622D0"/>
    <w:pPr>
      <w:tabs>
        <w:tab w:val="center" w:pos="4680"/>
        <w:tab w:val="right" w:pos="9360"/>
      </w:tabs>
    </w:pPr>
    <w:rPr>
      <w:lang w:val="x-none" w:eastAsia="x-none"/>
    </w:rPr>
  </w:style>
  <w:style w:type="character" w:customStyle="1" w:styleId="FooterChar">
    <w:name w:val="Footer Char"/>
    <w:link w:val="Footer"/>
    <w:uiPriority w:val="99"/>
    <w:rsid w:val="00D622D0"/>
    <w:rPr>
      <w:sz w:val="24"/>
      <w:szCs w:val="24"/>
    </w:rPr>
  </w:style>
  <w:style w:type="paragraph" w:customStyle="1" w:styleId="Default">
    <w:name w:val="Default"/>
    <w:rsid w:val="006F30FC"/>
    <w:pPr>
      <w:autoSpaceDE w:val="0"/>
      <w:autoSpaceDN w:val="0"/>
      <w:adjustRightInd w:val="0"/>
    </w:pPr>
    <w:rPr>
      <w:rFonts w:eastAsia="Calibri"/>
      <w:color w:val="000000"/>
      <w:sz w:val="24"/>
      <w:szCs w:val="24"/>
    </w:rPr>
  </w:style>
  <w:style w:type="paragraph" w:styleId="ListParagraph">
    <w:name w:val="List Paragraph"/>
    <w:basedOn w:val="Normal"/>
    <w:uiPriority w:val="34"/>
    <w:qFormat/>
    <w:rsid w:val="00B6070A"/>
    <w:pPr>
      <w:ind w:left="720"/>
      <w:contextualSpacing/>
    </w:pPr>
  </w:style>
  <w:style w:type="paragraph" w:styleId="NormalWeb">
    <w:name w:val="Normal (Web)"/>
    <w:basedOn w:val="Normal"/>
    <w:uiPriority w:val="99"/>
    <w:semiHidden/>
    <w:unhideWhenUsed/>
    <w:rsid w:val="004A7643"/>
    <w:pPr>
      <w:spacing w:before="100" w:beforeAutospacing="1" w:after="100" w:afterAutospacing="1"/>
    </w:pPr>
  </w:style>
  <w:style w:type="paragraph" w:styleId="BalloonText">
    <w:name w:val="Balloon Text"/>
    <w:basedOn w:val="Normal"/>
    <w:link w:val="BalloonTextChar"/>
    <w:uiPriority w:val="99"/>
    <w:semiHidden/>
    <w:unhideWhenUsed/>
    <w:rsid w:val="004A7643"/>
    <w:rPr>
      <w:rFonts w:ascii="Tahoma" w:hAnsi="Tahoma" w:cs="Tahoma"/>
      <w:sz w:val="16"/>
      <w:szCs w:val="16"/>
    </w:rPr>
  </w:style>
  <w:style w:type="character" w:customStyle="1" w:styleId="BalloonTextChar">
    <w:name w:val="Balloon Text Char"/>
    <w:link w:val="BalloonText"/>
    <w:uiPriority w:val="99"/>
    <w:semiHidden/>
    <w:rsid w:val="004A7643"/>
    <w:rPr>
      <w:rFonts w:ascii="Tahoma" w:hAnsi="Tahoma" w:cs="Tahoma"/>
      <w:sz w:val="16"/>
      <w:szCs w:val="16"/>
    </w:rPr>
  </w:style>
  <w:style w:type="character" w:styleId="Hyperlink">
    <w:name w:val="Hyperlink"/>
    <w:uiPriority w:val="99"/>
    <w:unhideWhenUsed/>
    <w:rsid w:val="007545B6"/>
    <w:rPr>
      <w:color w:val="0000FF"/>
      <w:u w:val="single"/>
    </w:rPr>
  </w:style>
  <w:style w:type="paragraph" w:styleId="BodyText">
    <w:name w:val="Body Text"/>
    <w:basedOn w:val="Normal"/>
    <w:link w:val="BodyTextChar"/>
    <w:uiPriority w:val="1"/>
    <w:qFormat/>
    <w:rsid w:val="00316DC5"/>
    <w:pPr>
      <w:widowControl w:val="0"/>
      <w:ind w:left="200"/>
    </w:pPr>
    <w:rPr>
      <w:rFonts w:cstheme="minorBidi"/>
    </w:rPr>
  </w:style>
  <w:style w:type="character" w:customStyle="1" w:styleId="BodyTextChar">
    <w:name w:val="Body Text Char"/>
    <w:basedOn w:val="DefaultParagraphFont"/>
    <w:link w:val="BodyText"/>
    <w:uiPriority w:val="1"/>
    <w:rsid w:val="00316DC5"/>
    <w:rPr>
      <w:rFonts w:cstheme="minorBidi"/>
      <w:sz w:val="24"/>
      <w:szCs w:val="24"/>
    </w:rPr>
  </w:style>
  <w:style w:type="character" w:styleId="CommentReference">
    <w:name w:val="annotation reference"/>
    <w:uiPriority w:val="99"/>
    <w:semiHidden/>
    <w:unhideWhenUsed/>
    <w:rsid w:val="003F4E1D"/>
    <w:rPr>
      <w:sz w:val="16"/>
      <w:szCs w:val="16"/>
    </w:rPr>
  </w:style>
  <w:style w:type="paragraph" w:styleId="CommentText">
    <w:name w:val="annotation text"/>
    <w:basedOn w:val="Normal"/>
    <w:link w:val="CommentTextChar"/>
    <w:uiPriority w:val="99"/>
    <w:unhideWhenUsed/>
    <w:rsid w:val="003F4E1D"/>
    <w:rPr>
      <w:sz w:val="20"/>
      <w:szCs w:val="20"/>
    </w:rPr>
  </w:style>
  <w:style w:type="character" w:customStyle="1" w:styleId="CommentTextChar">
    <w:name w:val="Comment Text Char"/>
    <w:basedOn w:val="DefaultParagraphFont"/>
    <w:link w:val="CommentText"/>
    <w:uiPriority w:val="99"/>
    <w:rsid w:val="003F4E1D"/>
  </w:style>
  <w:style w:type="character" w:customStyle="1" w:styleId="fontstyle01">
    <w:name w:val="fontstyle01"/>
    <w:rsid w:val="0029631F"/>
    <w:rPr>
      <w:rFonts w:ascii="TimesNewRomanPSMT" w:hAnsi="TimesNewRomanPSMT"/>
      <w:color w:val="000000"/>
      <w:sz w:val="24"/>
    </w:rPr>
  </w:style>
  <w:style w:type="character" w:customStyle="1" w:styleId="Heading2Char">
    <w:name w:val="Heading 2 Char"/>
    <w:link w:val="Heading2"/>
    <w:rsid w:val="00742633"/>
    <w:rPr>
      <w:b/>
      <w:bCs/>
      <w:sz w:val="24"/>
      <w:szCs w:val="24"/>
    </w:rPr>
  </w:style>
  <w:style w:type="character" w:styleId="UnresolvedMention">
    <w:name w:val="Unresolved Mention"/>
    <w:basedOn w:val="DefaultParagraphFont"/>
    <w:uiPriority w:val="99"/>
    <w:semiHidden/>
    <w:unhideWhenUsed/>
    <w:rsid w:val="00E132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47799">
      <w:bodyDiv w:val="1"/>
      <w:marLeft w:val="0"/>
      <w:marRight w:val="0"/>
      <w:marTop w:val="0"/>
      <w:marBottom w:val="0"/>
      <w:divBdr>
        <w:top w:val="none" w:sz="0" w:space="0" w:color="auto"/>
        <w:left w:val="none" w:sz="0" w:space="0" w:color="auto"/>
        <w:bottom w:val="none" w:sz="0" w:space="0" w:color="auto"/>
        <w:right w:val="none" w:sz="0" w:space="0" w:color="auto"/>
      </w:divBdr>
    </w:div>
    <w:div w:id="85928698">
      <w:bodyDiv w:val="1"/>
      <w:marLeft w:val="0"/>
      <w:marRight w:val="0"/>
      <w:marTop w:val="0"/>
      <w:marBottom w:val="0"/>
      <w:divBdr>
        <w:top w:val="none" w:sz="0" w:space="0" w:color="auto"/>
        <w:left w:val="none" w:sz="0" w:space="0" w:color="auto"/>
        <w:bottom w:val="none" w:sz="0" w:space="0" w:color="auto"/>
        <w:right w:val="none" w:sz="0" w:space="0" w:color="auto"/>
      </w:divBdr>
    </w:div>
    <w:div w:id="243341777">
      <w:bodyDiv w:val="1"/>
      <w:marLeft w:val="0"/>
      <w:marRight w:val="0"/>
      <w:marTop w:val="0"/>
      <w:marBottom w:val="0"/>
      <w:divBdr>
        <w:top w:val="none" w:sz="0" w:space="0" w:color="auto"/>
        <w:left w:val="none" w:sz="0" w:space="0" w:color="auto"/>
        <w:bottom w:val="none" w:sz="0" w:space="0" w:color="auto"/>
        <w:right w:val="none" w:sz="0" w:space="0" w:color="auto"/>
      </w:divBdr>
    </w:div>
    <w:div w:id="264532559">
      <w:bodyDiv w:val="1"/>
      <w:marLeft w:val="0"/>
      <w:marRight w:val="0"/>
      <w:marTop w:val="0"/>
      <w:marBottom w:val="0"/>
      <w:divBdr>
        <w:top w:val="none" w:sz="0" w:space="0" w:color="auto"/>
        <w:left w:val="none" w:sz="0" w:space="0" w:color="auto"/>
        <w:bottom w:val="none" w:sz="0" w:space="0" w:color="auto"/>
        <w:right w:val="none" w:sz="0" w:space="0" w:color="auto"/>
      </w:divBdr>
    </w:div>
    <w:div w:id="281765167">
      <w:bodyDiv w:val="1"/>
      <w:marLeft w:val="0"/>
      <w:marRight w:val="0"/>
      <w:marTop w:val="0"/>
      <w:marBottom w:val="0"/>
      <w:divBdr>
        <w:top w:val="none" w:sz="0" w:space="0" w:color="auto"/>
        <w:left w:val="none" w:sz="0" w:space="0" w:color="auto"/>
        <w:bottom w:val="none" w:sz="0" w:space="0" w:color="auto"/>
        <w:right w:val="none" w:sz="0" w:space="0" w:color="auto"/>
      </w:divBdr>
    </w:div>
    <w:div w:id="292177760">
      <w:bodyDiv w:val="1"/>
      <w:marLeft w:val="0"/>
      <w:marRight w:val="0"/>
      <w:marTop w:val="0"/>
      <w:marBottom w:val="0"/>
      <w:divBdr>
        <w:top w:val="none" w:sz="0" w:space="0" w:color="auto"/>
        <w:left w:val="none" w:sz="0" w:space="0" w:color="auto"/>
        <w:bottom w:val="none" w:sz="0" w:space="0" w:color="auto"/>
        <w:right w:val="none" w:sz="0" w:space="0" w:color="auto"/>
      </w:divBdr>
    </w:div>
    <w:div w:id="300313350">
      <w:bodyDiv w:val="1"/>
      <w:marLeft w:val="0"/>
      <w:marRight w:val="0"/>
      <w:marTop w:val="0"/>
      <w:marBottom w:val="0"/>
      <w:divBdr>
        <w:top w:val="none" w:sz="0" w:space="0" w:color="auto"/>
        <w:left w:val="none" w:sz="0" w:space="0" w:color="auto"/>
        <w:bottom w:val="none" w:sz="0" w:space="0" w:color="auto"/>
        <w:right w:val="none" w:sz="0" w:space="0" w:color="auto"/>
      </w:divBdr>
    </w:div>
    <w:div w:id="415977254">
      <w:bodyDiv w:val="1"/>
      <w:marLeft w:val="0"/>
      <w:marRight w:val="0"/>
      <w:marTop w:val="0"/>
      <w:marBottom w:val="0"/>
      <w:divBdr>
        <w:top w:val="none" w:sz="0" w:space="0" w:color="auto"/>
        <w:left w:val="none" w:sz="0" w:space="0" w:color="auto"/>
        <w:bottom w:val="none" w:sz="0" w:space="0" w:color="auto"/>
        <w:right w:val="none" w:sz="0" w:space="0" w:color="auto"/>
      </w:divBdr>
    </w:div>
    <w:div w:id="480583760">
      <w:bodyDiv w:val="1"/>
      <w:marLeft w:val="0"/>
      <w:marRight w:val="0"/>
      <w:marTop w:val="0"/>
      <w:marBottom w:val="0"/>
      <w:divBdr>
        <w:top w:val="none" w:sz="0" w:space="0" w:color="auto"/>
        <w:left w:val="none" w:sz="0" w:space="0" w:color="auto"/>
        <w:bottom w:val="none" w:sz="0" w:space="0" w:color="auto"/>
        <w:right w:val="none" w:sz="0" w:space="0" w:color="auto"/>
      </w:divBdr>
    </w:div>
    <w:div w:id="534316485">
      <w:bodyDiv w:val="1"/>
      <w:marLeft w:val="0"/>
      <w:marRight w:val="0"/>
      <w:marTop w:val="0"/>
      <w:marBottom w:val="0"/>
      <w:divBdr>
        <w:top w:val="none" w:sz="0" w:space="0" w:color="auto"/>
        <w:left w:val="none" w:sz="0" w:space="0" w:color="auto"/>
        <w:bottom w:val="none" w:sz="0" w:space="0" w:color="auto"/>
        <w:right w:val="none" w:sz="0" w:space="0" w:color="auto"/>
      </w:divBdr>
      <w:divsChild>
        <w:div w:id="596183208">
          <w:marLeft w:val="0"/>
          <w:marRight w:val="0"/>
          <w:marTop w:val="0"/>
          <w:marBottom w:val="0"/>
          <w:divBdr>
            <w:top w:val="none" w:sz="0" w:space="0" w:color="auto"/>
            <w:left w:val="none" w:sz="0" w:space="0" w:color="auto"/>
            <w:bottom w:val="none" w:sz="0" w:space="0" w:color="auto"/>
            <w:right w:val="none" w:sz="0" w:space="0" w:color="auto"/>
          </w:divBdr>
          <w:divsChild>
            <w:div w:id="265966820">
              <w:marLeft w:val="0"/>
              <w:marRight w:val="0"/>
              <w:marTop w:val="0"/>
              <w:marBottom w:val="0"/>
              <w:divBdr>
                <w:top w:val="none" w:sz="0" w:space="0" w:color="auto"/>
                <w:left w:val="none" w:sz="0" w:space="0" w:color="auto"/>
                <w:bottom w:val="none" w:sz="0" w:space="0" w:color="auto"/>
                <w:right w:val="none" w:sz="0" w:space="0" w:color="auto"/>
              </w:divBdr>
            </w:div>
            <w:div w:id="315114275">
              <w:marLeft w:val="0"/>
              <w:marRight w:val="0"/>
              <w:marTop w:val="0"/>
              <w:marBottom w:val="0"/>
              <w:divBdr>
                <w:top w:val="none" w:sz="0" w:space="0" w:color="auto"/>
                <w:left w:val="none" w:sz="0" w:space="0" w:color="auto"/>
                <w:bottom w:val="none" w:sz="0" w:space="0" w:color="auto"/>
                <w:right w:val="none" w:sz="0" w:space="0" w:color="auto"/>
              </w:divBdr>
            </w:div>
            <w:div w:id="850220032">
              <w:marLeft w:val="0"/>
              <w:marRight w:val="0"/>
              <w:marTop w:val="0"/>
              <w:marBottom w:val="0"/>
              <w:divBdr>
                <w:top w:val="none" w:sz="0" w:space="0" w:color="auto"/>
                <w:left w:val="none" w:sz="0" w:space="0" w:color="auto"/>
                <w:bottom w:val="none" w:sz="0" w:space="0" w:color="auto"/>
                <w:right w:val="none" w:sz="0" w:space="0" w:color="auto"/>
              </w:divBdr>
            </w:div>
            <w:div w:id="861556663">
              <w:marLeft w:val="0"/>
              <w:marRight w:val="0"/>
              <w:marTop w:val="0"/>
              <w:marBottom w:val="0"/>
              <w:divBdr>
                <w:top w:val="none" w:sz="0" w:space="0" w:color="auto"/>
                <w:left w:val="none" w:sz="0" w:space="0" w:color="auto"/>
                <w:bottom w:val="none" w:sz="0" w:space="0" w:color="auto"/>
                <w:right w:val="none" w:sz="0" w:space="0" w:color="auto"/>
              </w:divBdr>
            </w:div>
            <w:div w:id="1151754203">
              <w:marLeft w:val="0"/>
              <w:marRight w:val="0"/>
              <w:marTop w:val="0"/>
              <w:marBottom w:val="0"/>
              <w:divBdr>
                <w:top w:val="none" w:sz="0" w:space="0" w:color="auto"/>
                <w:left w:val="none" w:sz="0" w:space="0" w:color="auto"/>
                <w:bottom w:val="none" w:sz="0" w:space="0" w:color="auto"/>
                <w:right w:val="none" w:sz="0" w:space="0" w:color="auto"/>
              </w:divBdr>
            </w:div>
            <w:div w:id="1195313971">
              <w:marLeft w:val="0"/>
              <w:marRight w:val="0"/>
              <w:marTop w:val="0"/>
              <w:marBottom w:val="0"/>
              <w:divBdr>
                <w:top w:val="none" w:sz="0" w:space="0" w:color="auto"/>
                <w:left w:val="none" w:sz="0" w:space="0" w:color="auto"/>
                <w:bottom w:val="none" w:sz="0" w:space="0" w:color="auto"/>
                <w:right w:val="none" w:sz="0" w:space="0" w:color="auto"/>
              </w:divBdr>
            </w:div>
            <w:div w:id="1445271853">
              <w:marLeft w:val="0"/>
              <w:marRight w:val="0"/>
              <w:marTop w:val="0"/>
              <w:marBottom w:val="0"/>
              <w:divBdr>
                <w:top w:val="none" w:sz="0" w:space="0" w:color="auto"/>
                <w:left w:val="none" w:sz="0" w:space="0" w:color="auto"/>
                <w:bottom w:val="none" w:sz="0" w:space="0" w:color="auto"/>
                <w:right w:val="none" w:sz="0" w:space="0" w:color="auto"/>
              </w:divBdr>
            </w:div>
            <w:div w:id="1452673690">
              <w:marLeft w:val="0"/>
              <w:marRight w:val="0"/>
              <w:marTop w:val="0"/>
              <w:marBottom w:val="0"/>
              <w:divBdr>
                <w:top w:val="none" w:sz="0" w:space="0" w:color="auto"/>
                <w:left w:val="none" w:sz="0" w:space="0" w:color="auto"/>
                <w:bottom w:val="none" w:sz="0" w:space="0" w:color="auto"/>
                <w:right w:val="none" w:sz="0" w:space="0" w:color="auto"/>
              </w:divBdr>
            </w:div>
            <w:div w:id="1530752837">
              <w:marLeft w:val="0"/>
              <w:marRight w:val="0"/>
              <w:marTop w:val="0"/>
              <w:marBottom w:val="0"/>
              <w:divBdr>
                <w:top w:val="none" w:sz="0" w:space="0" w:color="auto"/>
                <w:left w:val="none" w:sz="0" w:space="0" w:color="auto"/>
                <w:bottom w:val="none" w:sz="0" w:space="0" w:color="auto"/>
                <w:right w:val="none" w:sz="0" w:space="0" w:color="auto"/>
              </w:divBdr>
            </w:div>
            <w:div w:id="1825468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551635">
      <w:bodyDiv w:val="1"/>
      <w:marLeft w:val="0"/>
      <w:marRight w:val="0"/>
      <w:marTop w:val="0"/>
      <w:marBottom w:val="0"/>
      <w:divBdr>
        <w:top w:val="none" w:sz="0" w:space="0" w:color="auto"/>
        <w:left w:val="none" w:sz="0" w:space="0" w:color="auto"/>
        <w:bottom w:val="none" w:sz="0" w:space="0" w:color="auto"/>
        <w:right w:val="none" w:sz="0" w:space="0" w:color="auto"/>
      </w:divBdr>
    </w:div>
    <w:div w:id="765351094">
      <w:bodyDiv w:val="1"/>
      <w:marLeft w:val="0"/>
      <w:marRight w:val="0"/>
      <w:marTop w:val="0"/>
      <w:marBottom w:val="0"/>
      <w:divBdr>
        <w:top w:val="none" w:sz="0" w:space="0" w:color="auto"/>
        <w:left w:val="none" w:sz="0" w:space="0" w:color="auto"/>
        <w:bottom w:val="none" w:sz="0" w:space="0" w:color="auto"/>
        <w:right w:val="none" w:sz="0" w:space="0" w:color="auto"/>
      </w:divBdr>
    </w:div>
    <w:div w:id="811211115">
      <w:bodyDiv w:val="1"/>
      <w:marLeft w:val="0"/>
      <w:marRight w:val="0"/>
      <w:marTop w:val="0"/>
      <w:marBottom w:val="0"/>
      <w:divBdr>
        <w:top w:val="none" w:sz="0" w:space="0" w:color="auto"/>
        <w:left w:val="none" w:sz="0" w:space="0" w:color="auto"/>
        <w:bottom w:val="none" w:sz="0" w:space="0" w:color="auto"/>
        <w:right w:val="none" w:sz="0" w:space="0" w:color="auto"/>
      </w:divBdr>
    </w:div>
    <w:div w:id="855920858">
      <w:bodyDiv w:val="1"/>
      <w:marLeft w:val="0"/>
      <w:marRight w:val="0"/>
      <w:marTop w:val="0"/>
      <w:marBottom w:val="0"/>
      <w:divBdr>
        <w:top w:val="none" w:sz="0" w:space="0" w:color="auto"/>
        <w:left w:val="none" w:sz="0" w:space="0" w:color="auto"/>
        <w:bottom w:val="none" w:sz="0" w:space="0" w:color="auto"/>
        <w:right w:val="none" w:sz="0" w:space="0" w:color="auto"/>
      </w:divBdr>
    </w:div>
    <w:div w:id="890654799">
      <w:bodyDiv w:val="1"/>
      <w:marLeft w:val="0"/>
      <w:marRight w:val="0"/>
      <w:marTop w:val="0"/>
      <w:marBottom w:val="0"/>
      <w:divBdr>
        <w:top w:val="none" w:sz="0" w:space="0" w:color="auto"/>
        <w:left w:val="none" w:sz="0" w:space="0" w:color="auto"/>
        <w:bottom w:val="none" w:sz="0" w:space="0" w:color="auto"/>
        <w:right w:val="none" w:sz="0" w:space="0" w:color="auto"/>
      </w:divBdr>
    </w:div>
    <w:div w:id="937256497">
      <w:bodyDiv w:val="1"/>
      <w:marLeft w:val="0"/>
      <w:marRight w:val="0"/>
      <w:marTop w:val="0"/>
      <w:marBottom w:val="0"/>
      <w:divBdr>
        <w:top w:val="none" w:sz="0" w:space="0" w:color="auto"/>
        <w:left w:val="none" w:sz="0" w:space="0" w:color="auto"/>
        <w:bottom w:val="none" w:sz="0" w:space="0" w:color="auto"/>
        <w:right w:val="none" w:sz="0" w:space="0" w:color="auto"/>
      </w:divBdr>
    </w:div>
    <w:div w:id="979531461">
      <w:bodyDiv w:val="1"/>
      <w:marLeft w:val="0"/>
      <w:marRight w:val="0"/>
      <w:marTop w:val="0"/>
      <w:marBottom w:val="0"/>
      <w:divBdr>
        <w:top w:val="none" w:sz="0" w:space="0" w:color="auto"/>
        <w:left w:val="none" w:sz="0" w:space="0" w:color="auto"/>
        <w:bottom w:val="none" w:sz="0" w:space="0" w:color="auto"/>
        <w:right w:val="none" w:sz="0" w:space="0" w:color="auto"/>
      </w:divBdr>
    </w:div>
    <w:div w:id="1151093729">
      <w:bodyDiv w:val="1"/>
      <w:marLeft w:val="0"/>
      <w:marRight w:val="0"/>
      <w:marTop w:val="0"/>
      <w:marBottom w:val="0"/>
      <w:divBdr>
        <w:top w:val="none" w:sz="0" w:space="0" w:color="auto"/>
        <w:left w:val="none" w:sz="0" w:space="0" w:color="auto"/>
        <w:bottom w:val="none" w:sz="0" w:space="0" w:color="auto"/>
        <w:right w:val="none" w:sz="0" w:space="0" w:color="auto"/>
      </w:divBdr>
    </w:div>
    <w:div w:id="1175457047">
      <w:bodyDiv w:val="1"/>
      <w:marLeft w:val="0"/>
      <w:marRight w:val="0"/>
      <w:marTop w:val="0"/>
      <w:marBottom w:val="0"/>
      <w:divBdr>
        <w:top w:val="none" w:sz="0" w:space="0" w:color="auto"/>
        <w:left w:val="none" w:sz="0" w:space="0" w:color="auto"/>
        <w:bottom w:val="none" w:sz="0" w:space="0" w:color="auto"/>
        <w:right w:val="none" w:sz="0" w:space="0" w:color="auto"/>
      </w:divBdr>
    </w:div>
    <w:div w:id="1275600294">
      <w:bodyDiv w:val="1"/>
      <w:marLeft w:val="0"/>
      <w:marRight w:val="0"/>
      <w:marTop w:val="0"/>
      <w:marBottom w:val="0"/>
      <w:divBdr>
        <w:top w:val="none" w:sz="0" w:space="0" w:color="auto"/>
        <w:left w:val="none" w:sz="0" w:space="0" w:color="auto"/>
        <w:bottom w:val="none" w:sz="0" w:space="0" w:color="auto"/>
        <w:right w:val="none" w:sz="0" w:space="0" w:color="auto"/>
      </w:divBdr>
    </w:div>
    <w:div w:id="1625769088">
      <w:bodyDiv w:val="1"/>
      <w:marLeft w:val="0"/>
      <w:marRight w:val="0"/>
      <w:marTop w:val="0"/>
      <w:marBottom w:val="0"/>
      <w:divBdr>
        <w:top w:val="none" w:sz="0" w:space="0" w:color="auto"/>
        <w:left w:val="none" w:sz="0" w:space="0" w:color="auto"/>
        <w:bottom w:val="none" w:sz="0" w:space="0" w:color="auto"/>
        <w:right w:val="none" w:sz="0" w:space="0" w:color="auto"/>
      </w:divBdr>
    </w:div>
    <w:div w:id="1772504256">
      <w:bodyDiv w:val="1"/>
      <w:marLeft w:val="0"/>
      <w:marRight w:val="0"/>
      <w:marTop w:val="0"/>
      <w:marBottom w:val="0"/>
      <w:divBdr>
        <w:top w:val="none" w:sz="0" w:space="0" w:color="auto"/>
        <w:left w:val="none" w:sz="0" w:space="0" w:color="auto"/>
        <w:bottom w:val="none" w:sz="0" w:space="0" w:color="auto"/>
        <w:right w:val="none" w:sz="0" w:space="0" w:color="auto"/>
      </w:divBdr>
    </w:div>
    <w:div w:id="1784496307">
      <w:bodyDiv w:val="1"/>
      <w:marLeft w:val="0"/>
      <w:marRight w:val="0"/>
      <w:marTop w:val="0"/>
      <w:marBottom w:val="0"/>
      <w:divBdr>
        <w:top w:val="none" w:sz="0" w:space="0" w:color="auto"/>
        <w:left w:val="none" w:sz="0" w:space="0" w:color="auto"/>
        <w:bottom w:val="none" w:sz="0" w:space="0" w:color="auto"/>
        <w:right w:val="none" w:sz="0" w:space="0" w:color="auto"/>
      </w:divBdr>
    </w:div>
    <w:div w:id="1854492320">
      <w:bodyDiv w:val="1"/>
      <w:marLeft w:val="0"/>
      <w:marRight w:val="0"/>
      <w:marTop w:val="0"/>
      <w:marBottom w:val="0"/>
      <w:divBdr>
        <w:top w:val="none" w:sz="0" w:space="0" w:color="auto"/>
        <w:left w:val="none" w:sz="0" w:space="0" w:color="auto"/>
        <w:bottom w:val="none" w:sz="0" w:space="0" w:color="auto"/>
        <w:right w:val="none" w:sz="0" w:space="0" w:color="auto"/>
      </w:divBdr>
    </w:div>
    <w:div w:id="1915508219">
      <w:bodyDiv w:val="1"/>
      <w:marLeft w:val="0"/>
      <w:marRight w:val="0"/>
      <w:marTop w:val="0"/>
      <w:marBottom w:val="0"/>
      <w:divBdr>
        <w:top w:val="none" w:sz="0" w:space="0" w:color="auto"/>
        <w:left w:val="none" w:sz="0" w:space="0" w:color="auto"/>
        <w:bottom w:val="none" w:sz="0" w:space="0" w:color="auto"/>
        <w:right w:val="none" w:sz="0" w:space="0" w:color="auto"/>
      </w:divBdr>
    </w:div>
    <w:div w:id="1997952273">
      <w:bodyDiv w:val="1"/>
      <w:marLeft w:val="0"/>
      <w:marRight w:val="0"/>
      <w:marTop w:val="0"/>
      <w:marBottom w:val="0"/>
      <w:divBdr>
        <w:top w:val="none" w:sz="0" w:space="0" w:color="auto"/>
        <w:left w:val="none" w:sz="0" w:space="0" w:color="auto"/>
        <w:bottom w:val="none" w:sz="0" w:space="0" w:color="auto"/>
        <w:right w:val="none" w:sz="0" w:space="0" w:color="auto"/>
      </w:divBdr>
    </w:div>
    <w:div w:id="2010792904">
      <w:bodyDiv w:val="1"/>
      <w:marLeft w:val="0"/>
      <w:marRight w:val="0"/>
      <w:marTop w:val="0"/>
      <w:marBottom w:val="0"/>
      <w:divBdr>
        <w:top w:val="none" w:sz="0" w:space="0" w:color="auto"/>
        <w:left w:val="none" w:sz="0" w:space="0" w:color="auto"/>
        <w:bottom w:val="none" w:sz="0" w:space="0" w:color="auto"/>
        <w:right w:val="none" w:sz="0" w:space="0" w:color="auto"/>
      </w:divBdr>
    </w:div>
    <w:div w:id="20287536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file:///\\CMHFS\K12$\SHARED\Forecasts\Galion\Galion.xlsx!Graphs!%5bGalion.xlsx%5dGraphs%20Chart%205" TargetMode="External"/><Relationship Id="rId18" Type="http://schemas.openxmlformats.org/officeDocument/2006/relationships/image" Target="media/image7.emf"/><Relationship Id="rId26" Type="http://schemas.openxmlformats.org/officeDocument/2006/relationships/oleObject" Target="file:///\\CMHFS\K12$\SHARED\Forecasts\Galion\Galion.xlsx!Note%20Calc!Restricted" TargetMode="External"/><Relationship Id="rId39" Type="http://schemas.openxmlformats.org/officeDocument/2006/relationships/oleObject" Target="file:///\\CMHFS\K12$\SHARED\Forecasts\Galion\Galion.xlsx!Note%20Calc!Wages" TargetMode="External"/><Relationship Id="rId21" Type="http://schemas.openxmlformats.org/officeDocument/2006/relationships/oleObject" Target="file:///\\CMHFS\K12$\SHARED\Forecasts\Galion\Galion.xlsx!Note%20Calc!PUPP" TargetMode="External"/><Relationship Id="rId34" Type="http://schemas.openxmlformats.org/officeDocument/2006/relationships/image" Target="media/image15.emf"/><Relationship Id="rId42" Type="http://schemas.openxmlformats.org/officeDocument/2006/relationships/image" Target="media/image19.emf"/><Relationship Id="rId47" Type="http://schemas.openxmlformats.org/officeDocument/2006/relationships/oleObject" Target="file:///\\CMHFS\K12$\SHARED\Forecasts\Galion\Galion.xlsx!Note%20Calc!Capital" TargetMode="External"/><Relationship Id="rId50" Type="http://schemas.openxmlformats.org/officeDocument/2006/relationships/image" Target="media/image23.emf"/><Relationship Id="rId55" Type="http://schemas.openxmlformats.org/officeDocument/2006/relationships/oleObject" Target="file:///\\CMHFS\K12$\SHARED\Forecasts\Galion\Galion.xlsx!Graphs!%5bGalion.xlsx%5dGraphs%20Chart%209"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image" Target="media/image12.emf"/><Relationship Id="rId41" Type="http://schemas.openxmlformats.org/officeDocument/2006/relationships/oleObject" Target="file:///\\CMHFS\K12$\SHARED\Forecasts\Galion\Galion.xlsx!Note%20Calc!Benefits" TargetMode="External"/><Relationship Id="rId54" Type="http://schemas.openxmlformats.org/officeDocument/2006/relationships/image" Target="media/image25.emf"/><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file:///\\CMHFS\K12$\SHARED\Forecasts\Galion\Galion.xlsx!Graphs!%5bGalion.xlsx%5dGraphs%20Chart%20804" TargetMode="External"/><Relationship Id="rId24" Type="http://schemas.openxmlformats.org/officeDocument/2006/relationships/oleObject" Target="file:///\\CMHFS\K12$\SHARED\Forecasts\Galion\Galion.xlsx!Note%20Calc!BasicAid" TargetMode="External"/><Relationship Id="rId32" Type="http://schemas.openxmlformats.org/officeDocument/2006/relationships/image" Target="media/image14.emf"/><Relationship Id="rId37" Type="http://schemas.openxmlformats.org/officeDocument/2006/relationships/oleObject" Target="file:///\\CMHFS\K12$\SHARED\Forecasts\Galion\Galion.xlsx!Graphs!%5bGalion.xlsx%5dGraphs%20Chart%207" TargetMode="External"/><Relationship Id="rId40" Type="http://schemas.openxmlformats.org/officeDocument/2006/relationships/image" Target="media/image18.emf"/><Relationship Id="rId45" Type="http://schemas.openxmlformats.org/officeDocument/2006/relationships/oleObject" Target="file:///\\CMHFS\K12$\SHARED\Forecasts\Galion\Galion.xlsx!Note%20Calc!SMO" TargetMode="External"/><Relationship Id="rId53" Type="http://schemas.openxmlformats.org/officeDocument/2006/relationships/oleObject" Target="file:///\\CMHFS\K12$\SHARED\Forecasts\Galion\Galion.xlsx!Note%20Calc!Encum" TargetMode="External"/><Relationship Id="rId58" Type="http://schemas.openxmlformats.org/officeDocument/2006/relationships/image" Target="media/image27.emf"/><Relationship Id="rId5" Type="http://schemas.openxmlformats.org/officeDocument/2006/relationships/webSettings" Target="webSettings.xml"/><Relationship Id="rId15" Type="http://schemas.openxmlformats.org/officeDocument/2006/relationships/oleObject" Target="file:///\\CMHFS\K12$\SHARED\Forecasts\Galion\Galion.xlsx!Note%20Calc!AssessedValue" TargetMode="External"/><Relationship Id="rId23" Type="http://schemas.openxmlformats.org/officeDocument/2006/relationships/image" Target="media/image9.emf"/><Relationship Id="rId28" Type="http://schemas.openxmlformats.org/officeDocument/2006/relationships/oleObject" Target="file:///\\CMHFS\K12$\SHARED\Forecasts\Galion\Galion.xlsx!Note%20Calc!Summary" TargetMode="External"/><Relationship Id="rId36" Type="http://schemas.openxmlformats.org/officeDocument/2006/relationships/image" Target="media/image16.emf"/><Relationship Id="rId49" Type="http://schemas.openxmlformats.org/officeDocument/2006/relationships/oleObject" Target="file:///\\CMHFS\K12$\SHARED\Forecasts\Galion\Galion.xlsx!Note%20Calc!Other" TargetMode="External"/><Relationship Id="rId57" Type="http://schemas.openxmlformats.org/officeDocument/2006/relationships/oleObject" Target="file:///\\CMHFS\K12$\SHARED\Forecasts\Galion\Galion.xlsx!Note%20Calc!EndBal" TargetMode="External"/><Relationship Id="rId61"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oleObject" Target="file:///\\CMHFS\K12$\SHARED\Forecasts\Galion\Galion.xlsx!Note%20Calc!RenewLevy" TargetMode="External"/><Relationship Id="rId31" Type="http://schemas.openxmlformats.org/officeDocument/2006/relationships/oleObject" Target="file:///\\CMHFS\K12$\SHARED\Forecasts\Galion\Galion.xlsx!Note%20Calc!RH" TargetMode="External"/><Relationship Id="rId44" Type="http://schemas.openxmlformats.org/officeDocument/2006/relationships/image" Target="media/image20.emf"/><Relationship Id="rId52" Type="http://schemas.openxmlformats.org/officeDocument/2006/relationships/image" Target="media/image24.emf"/><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hyperlink" Target="https://education.ohio.gov/Topics/Finance-and-Funding/Overview-of-School-Funding" TargetMode="External"/><Relationship Id="rId27" Type="http://schemas.openxmlformats.org/officeDocument/2006/relationships/image" Target="media/image11.emf"/><Relationship Id="rId30" Type="http://schemas.openxmlformats.org/officeDocument/2006/relationships/image" Target="media/image13.emf"/><Relationship Id="rId35" Type="http://schemas.openxmlformats.org/officeDocument/2006/relationships/oleObject" Target="file:///\\CMHFS\K12$\SHARED\Forecasts\Galion\Galion.xlsx!Note%20Calc!ROPE" TargetMode="External"/><Relationship Id="rId43" Type="http://schemas.openxmlformats.org/officeDocument/2006/relationships/oleObject" Target="file:///\\CMHFS\K12$\SHARED\Forecasts\Galion\Galion.xlsx!Note%20Calc!Purchased" TargetMode="External"/><Relationship Id="rId48" Type="http://schemas.openxmlformats.org/officeDocument/2006/relationships/image" Target="media/image22.emf"/><Relationship Id="rId56" Type="http://schemas.openxmlformats.org/officeDocument/2006/relationships/image" Target="media/image26.emf"/><Relationship Id="rId8" Type="http://schemas.openxmlformats.org/officeDocument/2006/relationships/image" Target="media/image1.jpeg"/><Relationship Id="rId51" Type="http://schemas.openxmlformats.org/officeDocument/2006/relationships/oleObject" Target="file:///\\CMHFS\K12$\SHARED\Forecasts\Galion\Galion.xlsx!Note%20Calc!TranAdOut" TargetMode="Externa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file:///\\CMHFS\K12$\SHARED\Forecasts\Galion\Galion.xlsx!Note%20Calc!GeneralTax" TargetMode="External"/><Relationship Id="rId25" Type="http://schemas.openxmlformats.org/officeDocument/2006/relationships/image" Target="media/image10.emf"/><Relationship Id="rId33" Type="http://schemas.openxmlformats.org/officeDocument/2006/relationships/oleObject" Target="file:///\\CMHFS\K12$\SHARED\Forecasts\Galion\Galion.xlsx!Note%20Calc!MISCrEV" TargetMode="External"/><Relationship Id="rId38" Type="http://schemas.openxmlformats.org/officeDocument/2006/relationships/image" Target="media/image17.emf"/><Relationship Id="rId46" Type="http://schemas.openxmlformats.org/officeDocument/2006/relationships/image" Target="media/image21.emf"/><Relationship Id="rId59" Type="http://schemas.openxmlformats.org/officeDocument/2006/relationships/oleObject" Target="file:///\\CMHFS\K12$\SHARED\Forecasts\Galion\Galion.xlsx!Graphs!%5bGalion.xlsx%5dGraphs%20Chart%20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82995-3984-4497-AE8B-B7AA50218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1598</TotalTime>
  <Pages>19</Pages>
  <Words>6182</Words>
  <Characters>35243</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Galion CSD Assumptions</vt:lpstr>
    </vt:vector>
  </TitlesOfParts>
  <Company>Hewlett-Packard Company</Company>
  <LinksUpToDate>false</LinksUpToDate>
  <CharactersWithSpaces>41343</CharactersWithSpaces>
  <SharedDoc>false</SharedDoc>
  <HLinks>
    <vt:vector size="48" baseType="variant">
      <vt:variant>
        <vt:i4>5111886</vt:i4>
      </vt:variant>
      <vt:variant>
        <vt:i4>69</vt:i4>
      </vt:variant>
      <vt:variant>
        <vt:i4>0</vt:i4>
      </vt:variant>
      <vt:variant>
        <vt:i4>5</vt:i4>
      </vt:variant>
      <vt:variant>
        <vt:lpwstr>\\cmhdata04\wiki\Medicaid</vt:lpwstr>
      </vt:variant>
      <vt:variant>
        <vt:lpwstr/>
      </vt:variant>
      <vt:variant>
        <vt:i4>6225930</vt:i4>
      </vt:variant>
      <vt:variant>
        <vt:i4>66</vt:i4>
      </vt:variant>
      <vt:variant>
        <vt:i4>0</vt:i4>
      </vt:variant>
      <vt:variant>
        <vt:i4>5</vt:i4>
      </vt:variant>
      <vt:variant>
        <vt:lpwstr>\\cmhdata04\wiki\Medicare_(United_States)</vt:lpwstr>
      </vt:variant>
      <vt:variant>
        <vt:lpwstr/>
      </vt:variant>
      <vt:variant>
        <vt:i4>6488149</vt:i4>
      </vt:variant>
      <vt:variant>
        <vt:i4>63</vt:i4>
      </vt:variant>
      <vt:variant>
        <vt:i4>0</vt:i4>
      </vt:variant>
      <vt:variant>
        <vt:i4>5</vt:i4>
      </vt:variant>
      <vt:variant>
        <vt:lpwstr>\\cmhdata04\wiki\Health_care_in_the_United_States</vt:lpwstr>
      </vt:variant>
      <vt:variant>
        <vt:lpwstr/>
      </vt:variant>
      <vt:variant>
        <vt:i4>4194428</vt:i4>
      </vt:variant>
      <vt:variant>
        <vt:i4>60</vt:i4>
      </vt:variant>
      <vt:variant>
        <vt:i4>0</vt:i4>
      </vt:variant>
      <vt:variant>
        <vt:i4>5</vt:i4>
      </vt:variant>
      <vt:variant>
        <vt:lpwstr>\\cmhdata04\wiki\Health_Care_and_Education_Reconciliation_Act</vt:lpwstr>
      </vt:variant>
      <vt:variant>
        <vt:lpwstr/>
      </vt:variant>
      <vt:variant>
        <vt:i4>7209030</vt:i4>
      </vt:variant>
      <vt:variant>
        <vt:i4>57</vt:i4>
      </vt:variant>
      <vt:variant>
        <vt:i4>0</vt:i4>
      </vt:variant>
      <vt:variant>
        <vt:i4>5</vt:i4>
      </vt:variant>
      <vt:variant>
        <vt:lpwstr>\\cmhdata04\wiki\Barack_Obama</vt:lpwstr>
      </vt:variant>
      <vt:variant>
        <vt:lpwstr/>
      </vt:variant>
      <vt:variant>
        <vt:i4>3014694</vt:i4>
      </vt:variant>
      <vt:variant>
        <vt:i4>54</vt:i4>
      </vt:variant>
      <vt:variant>
        <vt:i4>0</vt:i4>
      </vt:variant>
      <vt:variant>
        <vt:i4>5</vt:i4>
      </vt:variant>
      <vt:variant>
        <vt:lpwstr>\\cmhdata04\wiki\President_of_the_United_States</vt:lpwstr>
      </vt:variant>
      <vt:variant>
        <vt:lpwstr/>
      </vt:variant>
      <vt:variant>
        <vt:i4>458812</vt:i4>
      </vt:variant>
      <vt:variant>
        <vt:i4>51</vt:i4>
      </vt:variant>
      <vt:variant>
        <vt:i4>0</vt:i4>
      </vt:variant>
      <vt:variant>
        <vt:i4>5</vt:i4>
      </vt:variant>
      <vt:variant>
        <vt:lpwstr>\\cmhdata04\wiki\Law_of_the_United_States</vt:lpwstr>
      </vt:variant>
      <vt:variant>
        <vt:lpwstr>Federal_law</vt:lpwstr>
      </vt:variant>
      <vt:variant>
        <vt:i4>1572906</vt:i4>
      </vt:variant>
      <vt:variant>
        <vt:i4>48</vt:i4>
      </vt:variant>
      <vt:variant>
        <vt:i4>0</vt:i4>
      </vt:variant>
      <vt:variant>
        <vt:i4>5</vt:i4>
      </vt:variant>
      <vt:variant>
        <vt:lpwstr>\\cmhdata04\wiki\United_States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Galion CSD Assumptions</dc:title>
  <dc:subject/>
  <dc:creator>Chris Mohr</dc:creator>
  <cp:keywords/>
  <dc:description/>
  <cp:lastModifiedBy>Christopher Mohr</cp:lastModifiedBy>
  <cp:revision>51</cp:revision>
  <cp:lastPrinted>2026-02-16T19:04:00Z</cp:lastPrinted>
  <dcterms:created xsi:type="dcterms:W3CDTF">2020-10-18T15:46:00Z</dcterms:created>
  <dcterms:modified xsi:type="dcterms:W3CDTF">2026-07-28T21:48:00Z</dcterms:modified>
</cp:coreProperties>
</file>